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74" w:type="dxa"/>
        <w:tblInd w:w="-176" w:type="dxa"/>
        <w:tblLook w:val="01E0" w:firstRow="1" w:lastRow="1" w:firstColumn="1" w:lastColumn="1" w:noHBand="0" w:noVBand="0"/>
      </w:tblPr>
      <w:tblGrid>
        <w:gridCol w:w="3437"/>
        <w:gridCol w:w="6237"/>
      </w:tblGrid>
      <w:tr w:rsidR="00954D98" w:rsidRPr="007F00F0" w14:paraId="37CFE7D5" w14:textId="77777777" w:rsidTr="0068392C">
        <w:tc>
          <w:tcPr>
            <w:tcW w:w="3437" w:type="dxa"/>
          </w:tcPr>
          <w:p w14:paraId="1EDB7BA7" w14:textId="77777777" w:rsidR="00072BEC" w:rsidRPr="00954D98" w:rsidRDefault="00072BEC" w:rsidP="0068392C">
            <w:pPr>
              <w:spacing w:line="276" w:lineRule="auto"/>
              <w:jc w:val="center"/>
              <w:rPr>
                <w:b/>
                <w:noProof/>
                <w:sz w:val="26"/>
                <w:szCs w:val="26"/>
                <w:lang w:val="vi-VN"/>
              </w:rPr>
            </w:pPr>
            <w:bookmarkStart w:id="0" w:name="_GoBack"/>
            <w:bookmarkEnd w:id="0"/>
            <w:r w:rsidRPr="00954D98">
              <w:rPr>
                <w:b/>
                <w:noProof/>
                <w:sz w:val="26"/>
                <w:szCs w:val="26"/>
                <w:lang w:val="vi-VN"/>
              </w:rPr>
              <w:t>HỘI ĐỒNG NHÂN DÂN</w:t>
            </w:r>
          </w:p>
          <w:p w14:paraId="65237A4D" w14:textId="77777777" w:rsidR="00072BEC" w:rsidRPr="00954D98" w:rsidRDefault="00072BEC" w:rsidP="0068392C">
            <w:pPr>
              <w:spacing w:line="276" w:lineRule="auto"/>
              <w:jc w:val="center"/>
              <w:rPr>
                <w:b/>
                <w:noProof/>
                <w:sz w:val="28"/>
                <w:szCs w:val="28"/>
                <w:lang w:val="vi-VN"/>
              </w:rPr>
            </w:pPr>
            <w:r w:rsidRPr="00954D98">
              <w:rPr>
                <w:b/>
                <w:noProof/>
                <w:sz w:val="26"/>
                <w:szCs w:val="26"/>
                <w:lang w:val="vi-VN"/>
              </w:rPr>
              <w:t>TỈNH PHÚ THỌ</w:t>
            </w:r>
          </w:p>
          <w:p w14:paraId="1D17C480" w14:textId="77777777" w:rsidR="00072BEC" w:rsidRPr="00954D98" w:rsidRDefault="00072BEC" w:rsidP="0068392C">
            <w:pPr>
              <w:spacing w:line="276" w:lineRule="auto"/>
              <w:jc w:val="center"/>
              <w:rPr>
                <w:noProof/>
                <w:sz w:val="28"/>
                <w:szCs w:val="28"/>
                <w:lang w:val="vi-VN"/>
              </w:rPr>
            </w:pPr>
            <w:r w:rsidRPr="00954D98">
              <w:rPr>
                <w:noProof/>
                <w:sz w:val="28"/>
                <w:szCs w:val="28"/>
              </w:rPr>
              <mc:AlternateContent>
                <mc:Choice Requires="wps">
                  <w:drawing>
                    <wp:anchor distT="0" distB="0" distL="114300" distR="114300" simplePos="0" relativeHeight="251662336" behindDoc="0" locked="0" layoutInCell="1" allowOverlap="1" wp14:anchorId="7B65DEE3" wp14:editId="0E24A38D">
                      <wp:simplePos x="0" y="0"/>
                      <wp:positionH relativeFrom="column">
                        <wp:posOffset>656590</wp:posOffset>
                      </wp:positionH>
                      <wp:positionV relativeFrom="paragraph">
                        <wp:posOffset>37465</wp:posOffset>
                      </wp:positionV>
                      <wp:extent cx="711200" cy="0"/>
                      <wp:effectExtent l="0" t="0" r="0" b="0"/>
                      <wp:wrapNone/>
                      <wp:docPr id="1"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573F12" id="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pt,2.95pt" to="107.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">
                      <o:lock v:ext="edit" shapetype="f"/>
                    </v:line>
                  </w:pict>
                </mc:Fallback>
              </mc:AlternateContent>
            </w:r>
          </w:p>
          <w:p w14:paraId="33DA24E3" w14:textId="740F15A4" w:rsidR="00072BEC" w:rsidRPr="00954D98" w:rsidRDefault="00072BEC" w:rsidP="0068392C">
            <w:pPr>
              <w:spacing w:line="276" w:lineRule="auto"/>
              <w:jc w:val="center"/>
              <w:rPr>
                <w:noProof/>
                <w:sz w:val="26"/>
                <w:szCs w:val="26"/>
                <w:lang w:val="vi-VN"/>
              </w:rPr>
            </w:pPr>
            <w:r w:rsidRPr="00954D98">
              <w:rPr>
                <w:noProof/>
                <w:sz w:val="26"/>
                <w:szCs w:val="26"/>
                <w:lang w:val="vi-VN"/>
              </w:rPr>
              <w:t xml:space="preserve">Số: </w:t>
            </w:r>
            <w:r w:rsidR="005B54F8">
              <w:rPr>
                <w:noProof/>
                <w:sz w:val="26"/>
                <w:szCs w:val="26"/>
              </w:rPr>
              <w:t>76</w:t>
            </w:r>
            <w:r w:rsidRPr="00954D98">
              <w:rPr>
                <w:noProof/>
                <w:sz w:val="26"/>
                <w:szCs w:val="26"/>
                <w:lang w:val="vi-VN"/>
              </w:rPr>
              <w:t>/2025/NQ-HĐND</w:t>
            </w:r>
          </w:p>
        </w:tc>
        <w:tc>
          <w:tcPr>
            <w:tcW w:w="6237" w:type="dxa"/>
          </w:tcPr>
          <w:p w14:paraId="52C5EFC1" w14:textId="77777777" w:rsidR="00072BEC" w:rsidRPr="00954D98" w:rsidRDefault="00072BEC" w:rsidP="0068392C">
            <w:pPr>
              <w:spacing w:line="276" w:lineRule="auto"/>
              <w:jc w:val="center"/>
              <w:rPr>
                <w:b/>
                <w:noProof/>
                <w:sz w:val="26"/>
                <w:szCs w:val="26"/>
                <w:lang w:val="vi-VN"/>
              </w:rPr>
            </w:pPr>
            <w:r w:rsidRPr="00954D98">
              <w:rPr>
                <w:b/>
                <w:noProof/>
                <w:sz w:val="26"/>
                <w:szCs w:val="26"/>
                <w:lang w:val="vi-VN"/>
              </w:rPr>
              <w:t>CỘNG HÒA XÃ HỘI CHỦ NGHĨA VIỆT NAM</w:t>
            </w:r>
          </w:p>
          <w:p w14:paraId="0E8BB068" w14:textId="77777777" w:rsidR="00072BEC" w:rsidRPr="00954D98" w:rsidRDefault="00072BEC" w:rsidP="0068392C">
            <w:pPr>
              <w:spacing w:line="276" w:lineRule="auto"/>
              <w:jc w:val="center"/>
              <w:rPr>
                <w:b/>
                <w:noProof/>
                <w:sz w:val="28"/>
                <w:szCs w:val="28"/>
                <w:lang w:val="vi-VN"/>
              </w:rPr>
            </w:pPr>
            <w:r w:rsidRPr="00954D98">
              <w:rPr>
                <w:b/>
                <w:noProof/>
                <w:sz w:val="28"/>
                <w:szCs w:val="28"/>
                <w:lang w:val="vi-VN"/>
              </w:rPr>
              <w:t>Độc lập - Tự do - Hạnh phúc</w:t>
            </w:r>
          </w:p>
          <w:p w14:paraId="1FFB51D6" w14:textId="77777777" w:rsidR="00072BEC" w:rsidRPr="00954D98" w:rsidRDefault="00072BEC" w:rsidP="0068392C">
            <w:pPr>
              <w:spacing w:line="276" w:lineRule="auto"/>
              <w:jc w:val="center"/>
              <w:rPr>
                <w:b/>
                <w:noProof/>
                <w:sz w:val="28"/>
                <w:szCs w:val="28"/>
                <w:lang w:val="vi-VN"/>
              </w:rPr>
            </w:pPr>
            <w:r w:rsidRPr="00954D98">
              <w:rPr>
                <w:noProof/>
                <w:sz w:val="28"/>
                <w:szCs w:val="28"/>
              </w:rPr>
              <mc:AlternateContent>
                <mc:Choice Requires="wps">
                  <w:drawing>
                    <wp:anchor distT="0" distB="0" distL="114300" distR="114300" simplePos="0" relativeHeight="251663360" behindDoc="0" locked="0" layoutInCell="1" allowOverlap="1" wp14:anchorId="2EA32015" wp14:editId="43128086">
                      <wp:simplePos x="0" y="0"/>
                      <wp:positionH relativeFrom="column">
                        <wp:posOffset>823595</wp:posOffset>
                      </wp:positionH>
                      <wp:positionV relativeFrom="paragraph">
                        <wp:posOffset>36830</wp:posOffset>
                      </wp:positionV>
                      <wp:extent cx="2171700" cy="0"/>
                      <wp:effectExtent l="0" t="0" r="19050" b="19050"/>
                      <wp:wrapNone/>
                      <wp:docPr id="2"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A7CBDA" id="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5pt,2.9pt" to="235.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">
                      <o:lock v:ext="edit" shapetype="f"/>
                    </v:line>
                  </w:pict>
                </mc:Fallback>
              </mc:AlternateContent>
            </w:r>
          </w:p>
          <w:p w14:paraId="077F403C" w14:textId="069658F0" w:rsidR="00072BEC" w:rsidRPr="00954D98" w:rsidRDefault="00072BEC" w:rsidP="0068392C">
            <w:pPr>
              <w:spacing w:line="276" w:lineRule="auto"/>
              <w:jc w:val="center"/>
              <w:rPr>
                <w:noProof/>
                <w:sz w:val="28"/>
                <w:szCs w:val="28"/>
                <w:lang w:val="vi-VN"/>
              </w:rPr>
            </w:pPr>
            <w:r w:rsidRPr="00954D98">
              <w:rPr>
                <w:i/>
                <w:noProof/>
                <w:sz w:val="28"/>
                <w:szCs w:val="28"/>
                <w:lang w:val="vi-VN"/>
              </w:rPr>
              <w:t xml:space="preserve">Phú Thọ, ngày  </w:t>
            </w:r>
            <w:r w:rsidR="005B54F8" w:rsidRPr="005B54F8">
              <w:rPr>
                <w:i/>
                <w:noProof/>
                <w:sz w:val="28"/>
                <w:szCs w:val="28"/>
                <w:lang w:val="vi-VN"/>
              </w:rPr>
              <w:t>10</w:t>
            </w:r>
            <w:r w:rsidRPr="00954D98">
              <w:rPr>
                <w:i/>
                <w:noProof/>
                <w:sz w:val="28"/>
                <w:szCs w:val="28"/>
                <w:lang w:val="vi-VN"/>
              </w:rPr>
              <w:t xml:space="preserve"> tháng  </w:t>
            </w:r>
            <w:r w:rsidR="00C162ED" w:rsidRPr="00954D98">
              <w:rPr>
                <w:i/>
                <w:noProof/>
                <w:sz w:val="28"/>
                <w:szCs w:val="28"/>
                <w:lang w:val="vi-VN"/>
              </w:rPr>
              <w:t>12</w:t>
            </w:r>
            <w:r w:rsidRPr="00954D98">
              <w:rPr>
                <w:i/>
                <w:noProof/>
                <w:sz w:val="28"/>
                <w:szCs w:val="28"/>
                <w:lang w:val="vi-VN"/>
              </w:rPr>
              <w:t xml:space="preserve">  năm 2025</w:t>
            </w:r>
          </w:p>
        </w:tc>
      </w:tr>
    </w:tbl>
    <w:p w14:paraId="3DFDAC66" w14:textId="387CC1DA" w:rsidR="00072BEC" w:rsidRPr="00954D98" w:rsidRDefault="00072BEC" w:rsidP="00072BEC">
      <w:pPr>
        <w:widowControl w:val="0"/>
        <w:spacing w:before="160" w:line="276" w:lineRule="auto"/>
        <w:jc w:val="center"/>
        <w:rPr>
          <w:b/>
          <w:noProof/>
          <w:sz w:val="28"/>
          <w:szCs w:val="28"/>
          <w:lang w:val="vi-VN"/>
        </w:rPr>
      </w:pPr>
    </w:p>
    <w:p w14:paraId="47CB8C9C" w14:textId="77777777" w:rsidR="00072BEC" w:rsidRPr="00954D98" w:rsidRDefault="00072BEC" w:rsidP="00072BEC">
      <w:pPr>
        <w:widowControl w:val="0"/>
        <w:spacing w:line="276" w:lineRule="auto"/>
        <w:jc w:val="center"/>
        <w:rPr>
          <w:b/>
          <w:noProof/>
          <w:sz w:val="28"/>
          <w:szCs w:val="28"/>
          <w:lang w:val="vi-VN"/>
        </w:rPr>
      </w:pPr>
      <w:r w:rsidRPr="00954D98">
        <w:rPr>
          <w:b/>
          <w:noProof/>
          <w:sz w:val="28"/>
          <w:szCs w:val="28"/>
          <w:lang w:val="vi-VN"/>
        </w:rPr>
        <w:t>NGHỊ QUYẾT</w:t>
      </w:r>
    </w:p>
    <w:p w14:paraId="66DE286B" w14:textId="77777777" w:rsidR="00072BEC" w:rsidRPr="00954D98" w:rsidRDefault="00072BEC" w:rsidP="00072BEC">
      <w:pPr>
        <w:widowControl w:val="0"/>
        <w:spacing w:line="276" w:lineRule="auto"/>
        <w:jc w:val="center"/>
        <w:rPr>
          <w:b/>
          <w:bCs/>
          <w:noProof/>
          <w:sz w:val="28"/>
          <w:szCs w:val="28"/>
          <w:lang w:val="vi-VN"/>
        </w:rPr>
      </w:pPr>
      <w:bookmarkStart w:id="1" w:name="_Hlk210308959"/>
      <w:r w:rsidRPr="00954D98">
        <w:rPr>
          <w:b/>
          <w:bCs/>
          <w:noProof/>
          <w:sz w:val="28"/>
          <w:szCs w:val="28"/>
          <w:lang w:val="vi-VN"/>
        </w:rPr>
        <w:t xml:space="preserve">Quy định một số mức chi sự nghiệp bảo vệ môi trường </w:t>
      </w:r>
    </w:p>
    <w:p w14:paraId="73C1725A" w14:textId="372EA132" w:rsidR="00072BEC" w:rsidRPr="00954D98" w:rsidRDefault="00072BEC" w:rsidP="00072BEC">
      <w:pPr>
        <w:widowControl w:val="0"/>
        <w:spacing w:line="276" w:lineRule="auto"/>
        <w:jc w:val="center"/>
        <w:rPr>
          <w:b/>
          <w:noProof/>
          <w:sz w:val="28"/>
          <w:szCs w:val="28"/>
          <w:lang w:val="vi-VN"/>
        </w:rPr>
      </w:pPr>
      <w:r w:rsidRPr="00954D98">
        <w:rPr>
          <w:b/>
          <w:bCs/>
          <w:noProof/>
          <w:sz w:val="28"/>
          <w:szCs w:val="28"/>
          <w:lang w:val="vi-VN"/>
        </w:rPr>
        <w:t>trên địa bàn tỉnh Phú Thọ</w:t>
      </w:r>
    </w:p>
    <w:bookmarkEnd w:id="1"/>
    <w:p w14:paraId="5F4CCC99" w14:textId="62E67B8C" w:rsidR="00072BEC" w:rsidRPr="00954D98" w:rsidRDefault="006B5F52" w:rsidP="00954D98">
      <w:pPr>
        <w:widowControl w:val="0"/>
        <w:spacing w:before="120" w:line="276" w:lineRule="auto"/>
        <w:rPr>
          <w:b/>
          <w:noProof/>
          <w:sz w:val="28"/>
          <w:szCs w:val="28"/>
          <w:lang w:val="vi-VN"/>
        </w:rPr>
      </w:pPr>
      <w:r w:rsidRPr="00954D98">
        <w:rPr>
          <w:b/>
          <w:noProof/>
          <w:sz w:val="28"/>
          <w:szCs w:val="28"/>
          <w14:ligatures w14:val="standardContextual"/>
        </w:rPr>
        <mc:AlternateContent>
          <mc:Choice Requires="wps">
            <w:drawing>
              <wp:anchor distT="0" distB="0" distL="114300" distR="114300" simplePos="0" relativeHeight="251661312" behindDoc="0" locked="0" layoutInCell="1" allowOverlap="1" wp14:anchorId="37D965AE" wp14:editId="02C1446C">
                <wp:simplePos x="0" y="0"/>
                <wp:positionH relativeFrom="margin">
                  <wp:align>center</wp:align>
                </wp:positionH>
                <wp:positionV relativeFrom="page">
                  <wp:posOffset>2722245</wp:posOffset>
                </wp:positionV>
                <wp:extent cx="1274445" cy="0"/>
                <wp:effectExtent l="0" t="0" r="20955" b="19050"/>
                <wp:wrapNone/>
                <wp:docPr id="528452922" name="Straight Connector 1"/>
                <wp:cNvGraphicFramePr/>
                <a:graphic xmlns:a="http://schemas.openxmlformats.org/drawingml/2006/main">
                  <a:graphicData uri="http://schemas.microsoft.com/office/word/2010/wordprocessingShape">
                    <wps:wsp>
                      <wps:cNvCnPr/>
                      <wps:spPr>
                        <a:xfrm>
                          <a:off x="0" y="0"/>
                          <a:ext cx="1274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EF5CD3B" id="Straight Connector 1"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page;mso-width-percent:0;mso-width-relative:margin" from="0,214.35pt" to="100.35pt,2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" strokecolor="black [3200]" strokeweight=".5pt">
                <v:stroke joinstyle="miter"/>
                <w10:wrap anchorx="margin" anchory="page"/>
              </v:line>
            </w:pict>
          </mc:Fallback>
        </mc:AlternateContent>
      </w:r>
    </w:p>
    <w:p w14:paraId="2051E49F" w14:textId="11C8E42E" w:rsidR="00072BEC" w:rsidRPr="00954D98" w:rsidRDefault="00072BEC" w:rsidP="00072BEC">
      <w:pPr>
        <w:widowControl w:val="0"/>
        <w:spacing w:before="120" w:after="120" w:line="276" w:lineRule="auto"/>
        <w:ind w:firstLine="720"/>
        <w:jc w:val="both"/>
        <w:rPr>
          <w:bCs/>
          <w:i/>
          <w:iCs/>
          <w:noProof/>
          <w:sz w:val="28"/>
          <w:szCs w:val="28"/>
          <w:lang w:val="vi-VN"/>
        </w:rPr>
      </w:pPr>
      <w:bookmarkStart w:id="2" w:name="_Hlk212106514"/>
      <w:r w:rsidRPr="00954D98">
        <w:rPr>
          <w:bCs/>
          <w:i/>
          <w:iCs/>
          <w:noProof/>
          <w:sz w:val="28"/>
          <w:szCs w:val="28"/>
          <w:lang w:val="vi-VN"/>
        </w:rPr>
        <w:t>Căn cứ Luật Tổ chức chính quyền địa phương số 72/2025/QH15;</w:t>
      </w:r>
    </w:p>
    <w:p w14:paraId="00BC75D7" w14:textId="7C8BD5D4" w:rsidR="00072BEC" w:rsidRPr="00954D98" w:rsidRDefault="00072BEC" w:rsidP="00072BEC">
      <w:pPr>
        <w:widowControl w:val="0"/>
        <w:spacing w:before="120" w:after="120" w:line="276" w:lineRule="auto"/>
        <w:ind w:firstLine="720"/>
        <w:jc w:val="both"/>
        <w:rPr>
          <w:bCs/>
          <w:i/>
          <w:iCs/>
          <w:noProof/>
          <w:sz w:val="28"/>
          <w:szCs w:val="28"/>
          <w:lang w:val="vi-VN"/>
        </w:rPr>
      </w:pPr>
      <w:r w:rsidRPr="00954D98">
        <w:rPr>
          <w:bCs/>
          <w:i/>
          <w:iCs/>
          <w:noProof/>
          <w:sz w:val="28"/>
          <w:szCs w:val="28"/>
          <w:lang w:val="vi-VN"/>
        </w:rPr>
        <w:t xml:space="preserve">Căn cứ Luật Ban hành văn bản quy phạm pháp luật số 64/2025/QH15 được sửa đổi, </w:t>
      </w:r>
      <w:r w:rsidRPr="004D571B">
        <w:rPr>
          <w:bCs/>
          <w:i/>
          <w:iCs/>
          <w:noProof/>
          <w:color w:val="000099"/>
          <w:sz w:val="28"/>
          <w:szCs w:val="28"/>
          <w:lang w:val="vi-VN"/>
        </w:rPr>
        <w:t>b</w:t>
      </w:r>
      <w:r w:rsidR="00C602E8" w:rsidRPr="004D571B">
        <w:rPr>
          <w:bCs/>
          <w:i/>
          <w:iCs/>
          <w:noProof/>
          <w:color w:val="000099"/>
          <w:sz w:val="28"/>
          <w:szCs w:val="28"/>
          <w:lang w:val="vi-VN"/>
        </w:rPr>
        <w:t>ổ</w:t>
      </w:r>
      <w:r w:rsidRPr="004D571B">
        <w:rPr>
          <w:bCs/>
          <w:i/>
          <w:iCs/>
          <w:noProof/>
          <w:color w:val="000099"/>
          <w:sz w:val="28"/>
          <w:szCs w:val="28"/>
          <w:lang w:val="vi-VN"/>
        </w:rPr>
        <w:t xml:space="preserve"> sung </w:t>
      </w:r>
      <w:r w:rsidRPr="00954D98">
        <w:rPr>
          <w:bCs/>
          <w:i/>
          <w:iCs/>
          <w:noProof/>
          <w:sz w:val="28"/>
          <w:szCs w:val="28"/>
          <w:lang w:val="vi-VN"/>
        </w:rPr>
        <w:t xml:space="preserve">một số điều bởi Luật số 87/2025/QH15; </w:t>
      </w:r>
    </w:p>
    <w:p w14:paraId="590176EC" w14:textId="77777777" w:rsidR="00072BEC" w:rsidRPr="00954D98" w:rsidRDefault="00072BEC" w:rsidP="00072BEC">
      <w:pPr>
        <w:pStyle w:val="NormalWeb"/>
        <w:widowControl w:val="0"/>
        <w:spacing w:before="120" w:after="120" w:line="276" w:lineRule="auto"/>
        <w:ind w:firstLine="737"/>
        <w:jc w:val="both"/>
        <w:rPr>
          <w:noProof/>
          <w:lang w:val="vi-VN"/>
        </w:rPr>
      </w:pPr>
      <w:r w:rsidRPr="00954D98">
        <w:rPr>
          <w:i/>
          <w:iCs/>
          <w:noProof/>
          <w:szCs w:val="28"/>
          <w:lang w:val="vi-VN"/>
        </w:rPr>
        <w:t>Căn cứ Luật</w:t>
      </w:r>
      <w:r w:rsidRPr="00954D98">
        <w:rPr>
          <w:noProof/>
          <w:szCs w:val="28"/>
          <w:lang w:val="vi-VN"/>
        </w:rPr>
        <w:t xml:space="preserve"> </w:t>
      </w:r>
      <w:r w:rsidRPr="00954D98">
        <w:rPr>
          <w:i/>
          <w:iCs/>
          <w:noProof/>
          <w:szCs w:val="28"/>
          <w:lang w:val="vi-VN"/>
        </w:rPr>
        <w:t>Ngân sách nhà nước số 89/2025/QH15; </w:t>
      </w:r>
    </w:p>
    <w:p w14:paraId="283C0FF5" w14:textId="77777777" w:rsidR="00072BEC" w:rsidRPr="00954D98" w:rsidRDefault="00072BEC" w:rsidP="00072BEC">
      <w:pPr>
        <w:widowControl w:val="0"/>
        <w:spacing w:before="120" w:after="120" w:line="276" w:lineRule="auto"/>
        <w:ind w:firstLine="720"/>
        <w:jc w:val="both"/>
        <w:rPr>
          <w:bCs/>
          <w:i/>
          <w:iCs/>
          <w:noProof/>
          <w:sz w:val="28"/>
          <w:szCs w:val="28"/>
          <w:lang w:val="vi-VN"/>
        </w:rPr>
      </w:pPr>
      <w:r w:rsidRPr="00954D98">
        <w:rPr>
          <w:bCs/>
          <w:i/>
          <w:iCs/>
          <w:noProof/>
          <w:sz w:val="28"/>
          <w:szCs w:val="28"/>
          <w:lang w:val="vi-VN"/>
        </w:rPr>
        <w:t>Căn cứ Luật Bảo vệ môi trường số 72/2020/QH14;</w:t>
      </w:r>
    </w:p>
    <w:p w14:paraId="233CEF3D" w14:textId="77777777" w:rsidR="00072BEC" w:rsidRPr="00954D98" w:rsidRDefault="00072BEC" w:rsidP="00072BEC">
      <w:pPr>
        <w:widowControl w:val="0"/>
        <w:spacing w:before="120" w:after="120" w:line="276" w:lineRule="auto"/>
        <w:ind w:firstLine="720"/>
        <w:jc w:val="both"/>
        <w:rPr>
          <w:bCs/>
          <w:i/>
          <w:iCs/>
          <w:noProof/>
          <w:sz w:val="28"/>
          <w:szCs w:val="28"/>
          <w:lang w:val="vi-VN"/>
        </w:rPr>
      </w:pPr>
      <w:r w:rsidRPr="00954D98">
        <w:rPr>
          <w:bCs/>
          <w:i/>
          <w:iCs/>
          <w:noProof/>
          <w:sz w:val="28"/>
          <w:szCs w:val="28"/>
          <w:lang w:val="vi-VN"/>
        </w:rPr>
        <w:t xml:space="preserve">Căn cứ Thông tư số 02/2017/TT-BTC ngày 06 tháng 01 năm 2017 của Bộ trưởng Bộ Tài chính hướng dẫn quản lý kinh phí sự nghiệp bảo vệ môi trường được sửa đổi, bổ sung một số điều bởi Thông tư số 31/2023/TT-BTC ngày 25 tháng 5 năm 2023 và Thông tư số 94/2024/TT-BTC ngày 31 tháng 12 năm 2024 của Bộ trưởng Bộ Tài chính; </w:t>
      </w:r>
    </w:p>
    <w:bookmarkEnd w:id="2"/>
    <w:p w14:paraId="73B2CAB4" w14:textId="77777777" w:rsidR="00072BEC" w:rsidRPr="00954D98" w:rsidRDefault="00072BEC" w:rsidP="00072BEC">
      <w:pPr>
        <w:widowControl w:val="0"/>
        <w:spacing w:before="120" w:after="120" w:line="276" w:lineRule="auto"/>
        <w:ind w:firstLine="720"/>
        <w:jc w:val="both"/>
        <w:rPr>
          <w:bCs/>
          <w:i/>
          <w:iCs/>
          <w:noProof/>
          <w:sz w:val="28"/>
          <w:szCs w:val="28"/>
          <w:lang w:val="vi-VN"/>
        </w:rPr>
      </w:pPr>
      <w:r w:rsidRPr="00954D98">
        <w:rPr>
          <w:bCs/>
          <w:i/>
          <w:iCs/>
          <w:noProof/>
          <w:sz w:val="28"/>
          <w:szCs w:val="28"/>
          <w:lang w:val="vi-VN"/>
        </w:rPr>
        <w:t xml:space="preserve">Xét Tờ trình số 1027/TTr-UBND ngày 29 tháng 11 năm 2025 của Ủy ban nhân dân tỉnh; Báo cáo thẩm tra của Ban Kinh tế - Ngân sách Hội đồng nhân dân tỉnh; ý kiến thảo luận của đại biểu Hội đồng nhân dân tỉnh tại kỳ họp; </w:t>
      </w:r>
    </w:p>
    <w:p w14:paraId="2D174989" w14:textId="77777777" w:rsidR="00072BEC" w:rsidRPr="00954D98" w:rsidRDefault="00072BEC" w:rsidP="00072BEC">
      <w:pPr>
        <w:widowControl w:val="0"/>
        <w:spacing w:before="120" w:after="120" w:line="276" w:lineRule="auto"/>
        <w:ind w:firstLine="720"/>
        <w:jc w:val="both"/>
        <w:rPr>
          <w:bCs/>
          <w:i/>
          <w:iCs/>
          <w:noProof/>
          <w:sz w:val="28"/>
          <w:szCs w:val="28"/>
          <w:lang w:val="vi-VN"/>
        </w:rPr>
      </w:pPr>
      <w:r w:rsidRPr="00954D98">
        <w:rPr>
          <w:bCs/>
          <w:i/>
          <w:iCs/>
          <w:noProof/>
          <w:sz w:val="28"/>
          <w:szCs w:val="28"/>
          <w:lang w:val="vi-VN"/>
        </w:rPr>
        <w:t xml:space="preserve">Hội đồng nhân dân tỉnh ban hành Nghị quyết quy định </w:t>
      </w:r>
      <w:r w:rsidRPr="00954D98">
        <w:rPr>
          <w:i/>
          <w:iCs/>
          <w:noProof/>
          <w:sz w:val="28"/>
          <w:szCs w:val="28"/>
          <w:lang w:val="vi-VN"/>
        </w:rPr>
        <w:t xml:space="preserve">một số mức chi </w:t>
      </w:r>
      <w:r w:rsidRPr="00954D98">
        <w:rPr>
          <w:bCs/>
          <w:i/>
          <w:iCs/>
          <w:noProof/>
          <w:sz w:val="28"/>
          <w:szCs w:val="28"/>
          <w:lang w:val="vi-VN"/>
        </w:rPr>
        <w:t>sự nghiệp bảo vệ môi trường trên địa bàn tỉnh Phú Thọ.</w:t>
      </w:r>
    </w:p>
    <w:p w14:paraId="716CE735" w14:textId="77777777" w:rsidR="00072BEC" w:rsidRPr="00954D98" w:rsidRDefault="00072BEC" w:rsidP="00072BEC">
      <w:pPr>
        <w:pStyle w:val="NormalWeb"/>
        <w:widowControl w:val="0"/>
        <w:shd w:val="clear" w:color="auto" w:fill="FFFFFF"/>
        <w:spacing w:before="120" w:after="120" w:line="276" w:lineRule="auto"/>
        <w:ind w:firstLine="720"/>
        <w:jc w:val="both"/>
        <w:rPr>
          <w:b/>
          <w:bCs/>
          <w:noProof/>
          <w:szCs w:val="28"/>
          <w:lang w:val="vi-VN"/>
        </w:rPr>
      </w:pPr>
      <w:r w:rsidRPr="00954D98">
        <w:rPr>
          <w:b/>
          <w:bCs/>
          <w:noProof/>
          <w:szCs w:val="28"/>
          <w:lang w:val="vi-VN"/>
        </w:rPr>
        <w:t xml:space="preserve">Điều 1. Phạm vi điều chỉnh và đối tượng áp dụng </w:t>
      </w:r>
    </w:p>
    <w:p w14:paraId="79EEBF4E" w14:textId="77777777" w:rsidR="00072BEC" w:rsidRPr="00954D98" w:rsidRDefault="00072BEC" w:rsidP="00072BEC">
      <w:pPr>
        <w:pStyle w:val="NormalWeb"/>
        <w:widowControl w:val="0"/>
        <w:shd w:val="clear" w:color="auto" w:fill="FFFFFF"/>
        <w:spacing w:before="120" w:after="120" w:line="276" w:lineRule="auto"/>
        <w:ind w:firstLine="720"/>
        <w:jc w:val="both"/>
        <w:rPr>
          <w:noProof/>
          <w:szCs w:val="28"/>
          <w:lang w:val="vi-VN"/>
        </w:rPr>
      </w:pPr>
      <w:r w:rsidRPr="00954D98">
        <w:rPr>
          <w:noProof/>
          <w:szCs w:val="28"/>
          <w:lang w:val="vi-VN"/>
        </w:rPr>
        <w:t xml:space="preserve">1. Phạm vi điều chỉnh </w:t>
      </w:r>
    </w:p>
    <w:p w14:paraId="572E18A2" w14:textId="77777777" w:rsidR="00072BEC" w:rsidRPr="00954D98" w:rsidRDefault="00072BEC" w:rsidP="00072BEC">
      <w:pPr>
        <w:widowControl w:val="0"/>
        <w:spacing w:before="120" w:after="120" w:line="276" w:lineRule="auto"/>
        <w:ind w:firstLine="720"/>
        <w:jc w:val="both"/>
        <w:rPr>
          <w:bCs/>
          <w:noProof/>
          <w:sz w:val="28"/>
          <w:szCs w:val="28"/>
          <w:lang w:val="vi-VN"/>
        </w:rPr>
      </w:pPr>
      <w:r w:rsidRPr="00954D98">
        <w:rPr>
          <w:bCs/>
          <w:noProof/>
          <w:sz w:val="28"/>
          <w:szCs w:val="28"/>
          <w:lang w:val="vi-VN"/>
        </w:rPr>
        <w:t xml:space="preserve">Nghị quyết này quy định một số mức chi sự nghiệp bảo vệ môi trường (bao gồm các dự án, đề án, chương trình bảo vệ mội trường) do ngân sách nhà nước đảm bảo trên địa bàn tỉnh Phú Thọ theo quy định tại Điều 1 Thông tư số 94/2024/TT-BTC </w:t>
      </w:r>
      <w:bookmarkStart w:id="3" w:name="dieu_1"/>
      <w:r w:rsidRPr="00954D98">
        <w:rPr>
          <w:bCs/>
          <w:noProof/>
          <w:sz w:val="28"/>
          <w:szCs w:val="28"/>
          <w:shd w:val="clear" w:color="auto" w:fill="FFFFFF"/>
          <w:lang w:val="vi-VN"/>
        </w:rPr>
        <w:t>sửa đổi, bổ sung</w:t>
      </w:r>
      <w:bookmarkEnd w:id="3"/>
      <w:r w:rsidRPr="00954D98">
        <w:rPr>
          <w:bCs/>
          <w:noProof/>
          <w:sz w:val="28"/>
          <w:szCs w:val="28"/>
          <w:shd w:val="clear" w:color="auto" w:fill="FFFFFF"/>
          <w:lang w:val="vi-VN"/>
        </w:rPr>
        <w:t> </w:t>
      </w:r>
      <w:bookmarkStart w:id="4" w:name="dc_1"/>
      <w:r w:rsidRPr="00954D98">
        <w:rPr>
          <w:bCs/>
          <w:noProof/>
          <w:sz w:val="28"/>
          <w:szCs w:val="28"/>
          <w:shd w:val="clear" w:color="auto" w:fill="FFFFFF"/>
          <w:lang w:val="vi-VN"/>
        </w:rPr>
        <w:t>khoản 2 Điều 5 Thông tư số 02/2017/TT-BTC</w:t>
      </w:r>
      <w:bookmarkEnd w:id="4"/>
      <w:r w:rsidRPr="00954D98">
        <w:rPr>
          <w:bCs/>
          <w:noProof/>
          <w:sz w:val="28"/>
          <w:szCs w:val="28"/>
          <w:shd w:val="clear" w:color="auto" w:fill="FFFFFF"/>
          <w:lang w:val="vi-VN"/>
        </w:rPr>
        <w:t> của Bộ trưởng Bộ Tài chính</w:t>
      </w:r>
      <w:r w:rsidRPr="00954D98">
        <w:rPr>
          <w:bCs/>
          <w:noProof/>
          <w:sz w:val="28"/>
          <w:szCs w:val="28"/>
          <w:lang w:val="vi-VN"/>
        </w:rPr>
        <w:t xml:space="preserve">. </w:t>
      </w:r>
    </w:p>
    <w:p w14:paraId="1E73DE16" w14:textId="77777777" w:rsidR="00072BEC" w:rsidRPr="00954D98" w:rsidRDefault="00072BEC" w:rsidP="00072BEC">
      <w:pPr>
        <w:pStyle w:val="NormalWeb"/>
        <w:widowControl w:val="0"/>
        <w:shd w:val="clear" w:color="auto" w:fill="FFFFFF"/>
        <w:spacing w:before="120" w:after="120" w:line="276" w:lineRule="auto"/>
        <w:ind w:firstLine="720"/>
        <w:jc w:val="both"/>
        <w:rPr>
          <w:noProof/>
          <w:szCs w:val="28"/>
          <w:lang w:val="vi-VN"/>
        </w:rPr>
      </w:pPr>
      <w:r w:rsidRPr="00954D98">
        <w:rPr>
          <w:noProof/>
          <w:szCs w:val="28"/>
          <w:lang w:val="vi-VN"/>
        </w:rPr>
        <w:t xml:space="preserve">2. Đối tượng áp dụng </w:t>
      </w:r>
    </w:p>
    <w:p w14:paraId="5E1BC6A9" w14:textId="77777777" w:rsidR="00072BEC" w:rsidRPr="00954D98" w:rsidRDefault="00072BEC" w:rsidP="00072BEC">
      <w:pPr>
        <w:widowControl w:val="0"/>
        <w:spacing w:before="120" w:after="120" w:line="276" w:lineRule="auto"/>
        <w:ind w:firstLine="720"/>
        <w:jc w:val="both"/>
        <w:rPr>
          <w:bCs/>
          <w:noProof/>
          <w:sz w:val="28"/>
          <w:szCs w:val="28"/>
          <w:lang w:val="vi-VN"/>
        </w:rPr>
      </w:pPr>
      <w:r w:rsidRPr="00954D98">
        <w:rPr>
          <w:bCs/>
          <w:noProof/>
          <w:sz w:val="28"/>
          <w:szCs w:val="28"/>
          <w:lang w:val="vi-VN"/>
        </w:rPr>
        <w:t xml:space="preserve">Cơ quan, đơn vị, cá nhân có liên quan đến việc quản lý, sử dụng kinh phí sự nghiệp bảo vệ môi trường. </w:t>
      </w:r>
    </w:p>
    <w:p w14:paraId="6AA124F9" w14:textId="77777777" w:rsidR="00072BEC" w:rsidRPr="00954D98" w:rsidRDefault="00072BEC" w:rsidP="00072BEC">
      <w:pPr>
        <w:pStyle w:val="NormalWeb"/>
        <w:widowControl w:val="0"/>
        <w:shd w:val="clear" w:color="auto" w:fill="FFFFFF"/>
        <w:spacing w:before="100" w:after="100" w:line="276" w:lineRule="auto"/>
        <w:ind w:firstLine="720"/>
        <w:jc w:val="both"/>
        <w:rPr>
          <w:noProof/>
          <w:szCs w:val="28"/>
          <w:lang w:val="vi-VN"/>
        </w:rPr>
      </w:pPr>
      <w:r w:rsidRPr="00954D98">
        <w:rPr>
          <w:b/>
          <w:bCs/>
          <w:noProof/>
          <w:szCs w:val="28"/>
          <w:lang w:val="vi-VN"/>
        </w:rPr>
        <w:lastRenderedPageBreak/>
        <w:t>Điều 2. Một số mức chi sự nghiệp bảo vệ môi trường</w:t>
      </w:r>
      <w:r w:rsidRPr="00954D98">
        <w:rPr>
          <w:noProof/>
          <w:szCs w:val="28"/>
          <w:lang w:val="vi-VN"/>
        </w:rPr>
        <w:t xml:space="preserve"> </w:t>
      </w:r>
    </w:p>
    <w:p w14:paraId="43144DA8" w14:textId="7617BC2E" w:rsidR="00072BEC" w:rsidRPr="00954D98" w:rsidRDefault="00072BEC" w:rsidP="00072BEC">
      <w:pPr>
        <w:pStyle w:val="NormalWeb"/>
        <w:widowControl w:val="0"/>
        <w:shd w:val="clear" w:color="auto" w:fill="FFFFFF"/>
        <w:spacing w:before="100" w:after="100" w:line="276" w:lineRule="auto"/>
        <w:ind w:firstLine="720"/>
        <w:jc w:val="both"/>
        <w:rPr>
          <w:noProof/>
          <w:szCs w:val="28"/>
          <w:lang w:val="vi-VN"/>
        </w:rPr>
      </w:pPr>
      <w:r w:rsidRPr="00954D98">
        <w:rPr>
          <w:noProof/>
          <w:szCs w:val="28"/>
          <w:lang w:val="vi-VN"/>
        </w:rPr>
        <w:t>1. Chi cho lập nhiệm vụ, dự án</w:t>
      </w:r>
      <w:r w:rsidRPr="00954D98">
        <w:rPr>
          <w:noProof/>
          <w:sz w:val="26"/>
          <w:szCs w:val="26"/>
          <w:lang w:val="vi-VN"/>
        </w:rPr>
        <w:t xml:space="preserve">: </w:t>
      </w:r>
      <w:r w:rsidRPr="00954D98">
        <w:rPr>
          <w:noProof/>
          <w:szCs w:val="28"/>
          <w:lang w:val="vi-VN"/>
        </w:rPr>
        <w:t>Thực hiện theo quy định tại khoản 5 Điều 1 Thông tư số 31/2023/TT-BTC sửa đổi, bổ sung chi phí lập nhiệm vụ, dự án tại mục 1 Phụ lục số 1 và mục 1 Phụ lục số 2 Thông tư số 02/2017/TT-BTC.</w:t>
      </w:r>
    </w:p>
    <w:p w14:paraId="7CF400C4" w14:textId="77777777" w:rsidR="00072BEC" w:rsidRPr="00954D98" w:rsidRDefault="00072BEC" w:rsidP="00072BEC">
      <w:pPr>
        <w:pStyle w:val="NormalWeb"/>
        <w:widowControl w:val="0"/>
        <w:shd w:val="clear" w:color="auto" w:fill="FFFFFF"/>
        <w:spacing w:before="100" w:after="100" w:line="276" w:lineRule="auto"/>
        <w:ind w:firstLine="720"/>
        <w:jc w:val="both"/>
        <w:rPr>
          <w:noProof/>
          <w:szCs w:val="28"/>
          <w:lang w:val="vi-VN"/>
        </w:rPr>
      </w:pPr>
      <w:r w:rsidRPr="00954D98">
        <w:rPr>
          <w:noProof/>
          <w:szCs w:val="28"/>
          <w:lang w:val="vi-VN"/>
        </w:rPr>
        <w:t>2. Chi họp Hội đồng xét duyệt dự án, nhiệm vụ (không áp dụng cho họp Hội đồng đối với nhiệm vụ được giao thường xuyên hàng năm).</w:t>
      </w:r>
    </w:p>
    <w:p w14:paraId="37CE5E22" w14:textId="77777777" w:rsidR="00072BEC" w:rsidRPr="00954D98" w:rsidRDefault="00072BEC" w:rsidP="00072BEC">
      <w:pPr>
        <w:pStyle w:val="NormalWeb"/>
        <w:widowControl w:val="0"/>
        <w:shd w:val="clear" w:color="auto" w:fill="FFFFFF"/>
        <w:spacing w:before="100" w:after="100" w:line="276" w:lineRule="auto"/>
        <w:ind w:firstLine="720"/>
        <w:jc w:val="both"/>
        <w:rPr>
          <w:noProof/>
          <w:szCs w:val="28"/>
          <w:lang w:val="vi-VN"/>
        </w:rPr>
      </w:pPr>
      <w:r w:rsidRPr="00954D98">
        <w:rPr>
          <w:noProof/>
          <w:szCs w:val="28"/>
          <w:lang w:val="vi-VN"/>
        </w:rPr>
        <w:t>a) Chủ tịch Hội đồng: 500.000 đồng/người/buổi;</w:t>
      </w:r>
    </w:p>
    <w:p w14:paraId="02FE0CCE" w14:textId="77777777" w:rsidR="00072BEC" w:rsidRPr="00954D98" w:rsidRDefault="00072BEC" w:rsidP="00072BEC">
      <w:pPr>
        <w:pStyle w:val="NormalWeb"/>
        <w:widowControl w:val="0"/>
        <w:shd w:val="clear" w:color="auto" w:fill="FFFFFF"/>
        <w:spacing w:before="100" w:after="100" w:line="276" w:lineRule="auto"/>
        <w:ind w:firstLine="720"/>
        <w:jc w:val="both"/>
        <w:rPr>
          <w:noProof/>
          <w:szCs w:val="28"/>
          <w:lang w:val="vi-VN"/>
        </w:rPr>
      </w:pPr>
      <w:r w:rsidRPr="00954D98">
        <w:rPr>
          <w:noProof/>
          <w:szCs w:val="28"/>
          <w:lang w:val="vi-VN"/>
        </w:rPr>
        <w:t>b) Thành viên, thư ký: 300.000 đồng/người/buổi;</w:t>
      </w:r>
    </w:p>
    <w:p w14:paraId="673DF521" w14:textId="77777777" w:rsidR="00072BEC" w:rsidRPr="00954D98" w:rsidRDefault="00072BEC" w:rsidP="00072BEC">
      <w:pPr>
        <w:pStyle w:val="NormalWeb"/>
        <w:widowControl w:val="0"/>
        <w:shd w:val="clear" w:color="auto" w:fill="FFFFFF"/>
        <w:spacing w:before="100" w:after="100" w:line="276" w:lineRule="auto"/>
        <w:ind w:firstLine="720"/>
        <w:jc w:val="both"/>
        <w:rPr>
          <w:noProof/>
          <w:szCs w:val="28"/>
          <w:lang w:val="vi-VN"/>
        </w:rPr>
      </w:pPr>
      <w:r w:rsidRPr="00954D98">
        <w:rPr>
          <w:noProof/>
          <w:szCs w:val="28"/>
          <w:lang w:val="vi-VN"/>
        </w:rPr>
        <w:t>c) Đại biểu được mời tham dự: 150.000 đồng/người/buổi;</w:t>
      </w:r>
    </w:p>
    <w:p w14:paraId="4EF1D8F8" w14:textId="77777777" w:rsidR="00072BEC" w:rsidRPr="00954D98" w:rsidRDefault="00072BEC" w:rsidP="00072BEC">
      <w:pPr>
        <w:pStyle w:val="NormalWeb"/>
        <w:widowControl w:val="0"/>
        <w:shd w:val="clear" w:color="auto" w:fill="FFFFFF"/>
        <w:spacing w:before="100" w:after="100" w:line="276" w:lineRule="auto"/>
        <w:ind w:firstLine="720"/>
        <w:jc w:val="both"/>
        <w:rPr>
          <w:noProof/>
          <w:szCs w:val="28"/>
          <w:lang w:val="vi-VN"/>
        </w:rPr>
      </w:pPr>
      <w:r w:rsidRPr="00954D98">
        <w:rPr>
          <w:noProof/>
          <w:szCs w:val="28"/>
          <w:lang w:val="vi-VN"/>
        </w:rPr>
        <w:t>d) Nhận xét đánh giá của ủy viên phản biện: 500.000 đồng/bài viết;</w:t>
      </w:r>
    </w:p>
    <w:p w14:paraId="2F1D74BE" w14:textId="77777777" w:rsidR="00072BEC" w:rsidRPr="00954D98" w:rsidRDefault="00072BEC" w:rsidP="00072BEC">
      <w:pPr>
        <w:pStyle w:val="NormalWeb"/>
        <w:widowControl w:val="0"/>
        <w:shd w:val="clear" w:color="auto" w:fill="FFFFFF"/>
        <w:spacing w:before="100" w:after="100" w:line="276" w:lineRule="auto"/>
        <w:ind w:firstLine="720"/>
        <w:jc w:val="both"/>
        <w:rPr>
          <w:noProof/>
          <w:szCs w:val="28"/>
          <w:lang w:val="vi-VN"/>
        </w:rPr>
      </w:pPr>
      <w:r w:rsidRPr="00954D98">
        <w:rPr>
          <w:noProof/>
          <w:szCs w:val="28"/>
          <w:lang w:val="vi-VN"/>
        </w:rPr>
        <w:t>đ) Nhận xét đánh giá của ủy viên hội đồng: 300.000 đồng/bài viết.</w:t>
      </w:r>
    </w:p>
    <w:p w14:paraId="18145DEA" w14:textId="77777777" w:rsidR="00072BEC" w:rsidRPr="00954D98" w:rsidRDefault="00072BEC" w:rsidP="00072BEC">
      <w:pPr>
        <w:pStyle w:val="NormalWeb"/>
        <w:widowControl w:val="0"/>
        <w:shd w:val="clear" w:color="auto" w:fill="FFFFFF"/>
        <w:spacing w:before="100" w:after="100" w:line="276" w:lineRule="auto"/>
        <w:ind w:firstLine="720"/>
        <w:jc w:val="both"/>
        <w:rPr>
          <w:noProof/>
          <w:szCs w:val="28"/>
          <w:lang w:val="vi-VN"/>
        </w:rPr>
      </w:pPr>
      <w:r w:rsidRPr="00954D98">
        <w:rPr>
          <w:noProof/>
          <w:szCs w:val="28"/>
          <w:lang w:val="vi-VN"/>
        </w:rPr>
        <w:t>3. Chi lấy ý kiến thẩm định dự án bằng văn bản của chuyên gia và nhà quản lý đối với trường hợp không thành lập Hội đồng (tối đa không quá 5 bài viết): 500.000 đồng/bài viết.</w:t>
      </w:r>
    </w:p>
    <w:p w14:paraId="60639905" w14:textId="77777777" w:rsidR="00072BEC" w:rsidRPr="00954D98" w:rsidRDefault="00072BEC" w:rsidP="00072BEC">
      <w:pPr>
        <w:pStyle w:val="NormalWeb"/>
        <w:widowControl w:val="0"/>
        <w:shd w:val="clear" w:color="auto" w:fill="FFFFFF"/>
        <w:spacing w:before="100" w:after="100" w:line="276" w:lineRule="auto"/>
        <w:ind w:firstLine="720"/>
        <w:jc w:val="both"/>
        <w:rPr>
          <w:noProof/>
          <w:szCs w:val="28"/>
          <w:lang w:val="vi-VN"/>
        </w:rPr>
      </w:pPr>
      <w:r w:rsidRPr="00954D98">
        <w:rPr>
          <w:noProof/>
          <w:szCs w:val="28"/>
          <w:lang w:val="vi-VN"/>
        </w:rPr>
        <w:t>4. Chi điều tra, khảo sát</w:t>
      </w:r>
    </w:p>
    <w:p w14:paraId="67F24BCD" w14:textId="77777777" w:rsidR="00072BEC" w:rsidRPr="00954D98" w:rsidRDefault="00072BEC" w:rsidP="00072BEC">
      <w:pPr>
        <w:pStyle w:val="NormalWeb"/>
        <w:widowControl w:val="0"/>
        <w:shd w:val="clear" w:color="auto" w:fill="FFFFFF"/>
        <w:spacing w:before="100" w:after="100" w:line="276" w:lineRule="auto"/>
        <w:ind w:firstLine="720"/>
        <w:jc w:val="both"/>
        <w:rPr>
          <w:noProof/>
          <w:szCs w:val="28"/>
          <w:lang w:val="vi-VN"/>
        </w:rPr>
      </w:pPr>
      <w:r w:rsidRPr="00954D98">
        <w:rPr>
          <w:noProof/>
          <w:szCs w:val="28"/>
          <w:lang w:val="vi-VN"/>
        </w:rPr>
        <w:t>a) Lập mẫu phiếu điều tra: 500.000 đồng/phiếu mẫu được duyệt;</w:t>
      </w:r>
    </w:p>
    <w:p w14:paraId="5552E265" w14:textId="77777777" w:rsidR="00072BEC" w:rsidRPr="00954D98" w:rsidRDefault="00072BEC" w:rsidP="00072BEC">
      <w:pPr>
        <w:pStyle w:val="NormalWeb"/>
        <w:widowControl w:val="0"/>
        <w:shd w:val="clear" w:color="auto" w:fill="FFFFFF"/>
        <w:spacing w:before="100" w:after="100" w:line="276" w:lineRule="auto"/>
        <w:ind w:firstLine="720"/>
        <w:jc w:val="both"/>
        <w:rPr>
          <w:noProof/>
          <w:szCs w:val="28"/>
          <w:lang w:val="vi-VN"/>
        </w:rPr>
      </w:pPr>
      <w:r w:rsidRPr="00954D98">
        <w:rPr>
          <w:noProof/>
          <w:szCs w:val="28"/>
          <w:lang w:val="vi-VN"/>
        </w:rPr>
        <w:t>b) Chi cho đối tượng cung cấp thông tin: 50.000 đồng/phiếu/cá nhân; 100.000 đồng/phiếu/tổ chức;</w:t>
      </w:r>
    </w:p>
    <w:p w14:paraId="67C41E3F" w14:textId="77777777" w:rsidR="00072BEC" w:rsidRPr="00954D98" w:rsidRDefault="00072BEC" w:rsidP="00072BEC">
      <w:pPr>
        <w:pStyle w:val="NormalWeb"/>
        <w:widowControl w:val="0"/>
        <w:shd w:val="clear" w:color="auto" w:fill="FFFFFF"/>
        <w:spacing w:before="100" w:after="100" w:line="276" w:lineRule="auto"/>
        <w:ind w:firstLine="720"/>
        <w:jc w:val="both"/>
        <w:rPr>
          <w:noProof/>
          <w:szCs w:val="28"/>
          <w:lang w:val="vi-VN"/>
        </w:rPr>
      </w:pPr>
      <w:r w:rsidRPr="00954D98">
        <w:rPr>
          <w:noProof/>
          <w:szCs w:val="28"/>
          <w:lang w:val="vi-VN"/>
        </w:rPr>
        <w:t>c) Chi cho điều tra viên; công tác quan trắc, khảo sát, lấy mẫu (trường hợp thuê ngoài): Mức tiền công 1 người/ngày tối đa không quá 200% mức lương cơ sở, tính theo lương ngày do Nhà nước quy định cho đơn vị sự nghiệp công lập tại thời điểm thuê ngoài (22 ngày);</w:t>
      </w:r>
    </w:p>
    <w:p w14:paraId="69C943C1" w14:textId="77777777" w:rsidR="00072BEC" w:rsidRPr="00954D98" w:rsidRDefault="00072BEC" w:rsidP="00072BEC">
      <w:pPr>
        <w:pStyle w:val="NormalWeb"/>
        <w:widowControl w:val="0"/>
        <w:shd w:val="clear" w:color="auto" w:fill="FFFFFF"/>
        <w:spacing w:before="100" w:after="100" w:line="276" w:lineRule="auto"/>
        <w:ind w:firstLine="720"/>
        <w:jc w:val="both"/>
        <w:rPr>
          <w:noProof/>
          <w:szCs w:val="28"/>
          <w:lang w:val="vi-VN"/>
        </w:rPr>
      </w:pPr>
      <w:r w:rsidRPr="00954D98">
        <w:rPr>
          <w:noProof/>
          <w:szCs w:val="28"/>
          <w:lang w:val="vi-VN"/>
        </w:rPr>
        <w:t>d) Chi cho người dẫn đường: 100.000 đồng/người/ngày;</w:t>
      </w:r>
    </w:p>
    <w:p w14:paraId="69394064" w14:textId="77777777" w:rsidR="00072BEC" w:rsidRPr="00954D98" w:rsidRDefault="00072BEC" w:rsidP="00072BEC">
      <w:pPr>
        <w:pStyle w:val="NormalWeb"/>
        <w:widowControl w:val="0"/>
        <w:shd w:val="clear" w:color="auto" w:fill="FFFFFF"/>
        <w:spacing w:before="100" w:after="100" w:line="276" w:lineRule="auto"/>
        <w:ind w:firstLine="720"/>
        <w:jc w:val="both"/>
        <w:rPr>
          <w:noProof/>
          <w:szCs w:val="28"/>
          <w:lang w:val="vi-VN"/>
        </w:rPr>
      </w:pPr>
      <w:r w:rsidRPr="00954D98">
        <w:rPr>
          <w:noProof/>
          <w:szCs w:val="28"/>
          <w:lang w:val="vi-VN"/>
        </w:rPr>
        <w:t>đ) Chi cho người phiên dịch tiếng dân tộc: 200.000 đồng/người/ngày.</w:t>
      </w:r>
    </w:p>
    <w:p w14:paraId="54683124" w14:textId="77777777" w:rsidR="00072BEC" w:rsidRPr="00954D98" w:rsidRDefault="00072BEC" w:rsidP="00072BEC">
      <w:pPr>
        <w:pStyle w:val="NormalWeb"/>
        <w:widowControl w:val="0"/>
        <w:shd w:val="clear" w:color="auto" w:fill="FFFFFF"/>
        <w:spacing w:before="100" w:after="100" w:line="276" w:lineRule="auto"/>
        <w:ind w:firstLine="720"/>
        <w:jc w:val="both"/>
        <w:rPr>
          <w:noProof/>
          <w:szCs w:val="28"/>
          <w:lang w:val="vi-VN"/>
        </w:rPr>
      </w:pPr>
      <w:r w:rsidRPr="00954D98">
        <w:rPr>
          <w:noProof/>
          <w:szCs w:val="28"/>
          <w:lang w:val="vi-VN"/>
        </w:rPr>
        <w:t>Chi cho người dẫn đường và chi cho người phiên dịch tiếng dân tộc chỉ áp dụng cho điều tra thuộc vùng núi cao, vùng sâu cần có người địa phương dẫn đường và người phiên dịch cho điều tra viên.</w:t>
      </w:r>
    </w:p>
    <w:p w14:paraId="3C3212BC" w14:textId="77777777" w:rsidR="00072BEC" w:rsidRPr="00954D98" w:rsidRDefault="00072BEC" w:rsidP="00072BEC">
      <w:pPr>
        <w:pStyle w:val="NormalWeb"/>
        <w:widowControl w:val="0"/>
        <w:shd w:val="clear" w:color="auto" w:fill="FFFFFF"/>
        <w:spacing w:before="100" w:after="100" w:line="276" w:lineRule="auto"/>
        <w:ind w:firstLine="720"/>
        <w:jc w:val="both"/>
        <w:rPr>
          <w:noProof/>
          <w:szCs w:val="28"/>
          <w:lang w:val="vi-VN"/>
        </w:rPr>
      </w:pPr>
      <w:r w:rsidRPr="00954D98">
        <w:rPr>
          <w:noProof/>
          <w:szCs w:val="28"/>
          <w:lang w:val="vi-VN"/>
        </w:rPr>
        <w:t>5. Chi báo cáo tổng kết dự án, nhiệm vụ:</w:t>
      </w:r>
    </w:p>
    <w:p w14:paraId="68059C46" w14:textId="77777777" w:rsidR="00072BEC" w:rsidRPr="00954D98" w:rsidRDefault="00072BEC" w:rsidP="00072BEC">
      <w:pPr>
        <w:pStyle w:val="NormalWeb"/>
        <w:widowControl w:val="0"/>
        <w:shd w:val="clear" w:color="auto" w:fill="FFFFFF"/>
        <w:spacing w:before="100" w:after="100" w:line="276" w:lineRule="auto"/>
        <w:ind w:firstLine="720"/>
        <w:jc w:val="both"/>
        <w:rPr>
          <w:noProof/>
          <w:szCs w:val="28"/>
          <w:lang w:val="vi-VN"/>
        </w:rPr>
      </w:pPr>
      <w:r w:rsidRPr="00954D98">
        <w:rPr>
          <w:noProof/>
          <w:szCs w:val="28"/>
          <w:lang w:val="vi-VN"/>
        </w:rPr>
        <w:t>a) Chi báo cáo tổng kết nhiệm vụ: 5.000.000 đồng/báo cáo;</w:t>
      </w:r>
    </w:p>
    <w:p w14:paraId="3A490B70" w14:textId="77777777" w:rsidR="00072BEC" w:rsidRPr="00954D98" w:rsidRDefault="00072BEC" w:rsidP="00072BEC">
      <w:pPr>
        <w:pStyle w:val="NormalWeb"/>
        <w:widowControl w:val="0"/>
        <w:shd w:val="clear" w:color="auto" w:fill="FFFFFF"/>
        <w:spacing w:before="100" w:after="100" w:line="276" w:lineRule="auto"/>
        <w:ind w:firstLine="720"/>
        <w:jc w:val="both"/>
        <w:rPr>
          <w:noProof/>
          <w:szCs w:val="28"/>
          <w:lang w:val="vi-VN"/>
        </w:rPr>
      </w:pPr>
      <w:r w:rsidRPr="00954D98">
        <w:rPr>
          <w:noProof/>
          <w:szCs w:val="28"/>
          <w:lang w:val="vi-VN"/>
        </w:rPr>
        <w:t>b) Chi báo cáo tổng kết dự án: 10.000.000 đồng/báo cáo.</w:t>
      </w:r>
    </w:p>
    <w:p w14:paraId="1F4891A5" w14:textId="77777777" w:rsidR="00072BEC" w:rsidRPr="00954D98" w:rsidRDefault="00072BEC" w:rsidP="00072BEC">
      <w:pPr>
        <w:pStyle w:val="NormalWeb"/>
        <w:widowControl w:val="0"/>
        <w:shd w:val="clear" w:color="auto" w:fill="FFFFFF"/>
        <w:spacing w:before="100" w:after="100" w:line="276" w:lineRule="auto"/>
        <w:ind w:firstLine="720"/>
        <w:jc w:val="both"/>
        <w:rPr>
          <w:noProof/>
          <w:szCs w:val="28"/>
          <w:lang w:val="vi-VN"/>
        </w:rPr>
      </w:pPr>
      <w:r w:rsidRPr="00954D98">
        <w:rPr>
          <w:noProof/>
          <w:szCs w:val="28"/>
          <w:lang w:val="vi-VN"/>
        </w:rPr>
        <w:t>6. Chi Hội đồng thẩm định báo cáo đánh giá môi trường chiến lược, Hội đồng thẩm định quy hoạch bảo vệ môi trường, Hội đồng thẩm định khác theo quy định của pháp luật về bảo vệ môi trường, theo quyết định của cấp có thẩm quyền (không áp dụng cho các Hội đồng có thu phí thẩm định)</w:t>
      </w:r>
    </w:p>
    <w:p w14:paraId="3E082522" w14:textId="77777777" w:rsidR="00072BEC" w:rsidRPr="00954D98" w:rsidRDefault="00072BEC" w:rsidP="00072BEC">
      <w:pPr>
        <w:pStyle w:val="NormalWeb"/>
        <w:widowControl w:val="0"/>
        <w:shd w:val="clear" w:color="auto" w:fill="FFFFFF"/>
        <w:spacing w:before="120" w:after="100" w:line="276" w:lineRule="auto"/>
        <w:ind w:firstLine="720"/>
        <w:jc w:val="both"/>
        <w:rPr>
          <w:noProof/>
          <w:szCs w:val="28"/>
          <w:lang w:val="vi-VN"/>
        </w:rPr>
      </w:pPr>
      <w:r w:rsidRPr="00954D98">
        <w:rPr>
          <w:noProof/>
          <w:szCs w:val="28"/>
          <w:lang w:val="vi-VN"/>
        </w:rPr>
        <w:t>a) Chủ tịch Hội đồng: 700.000 đồng/người/buổi;</w:t>
      </w:r>
    </w:p>
    <w:p w14:paraId="59855A0C" w14:textId="77777777" w:rsidR="00072BEC" w:rsidRPr="00954D98" w:rsidRDefault="00072BEC" w:rsidP="00072BEC">
      <w:pPr>
        <w:pStyle w:val="NormalWeb"/>
        <w:widowControl w:val="0"/>
        <w:shd w:val="clear" w:color="auto" w:fill="FFFFFF"/>
        <w:spacing w:before="120" w:after="100" w:line="276" w:lineRule="auto"/>
        <w:ind w:firstLine="720"/>
        <w:jc w:val="both"/>
        <w:rPr>
          <w:noProof/>
          <w:szCs w:val="28"/>
          <w:lang w:val="vi-VN"/>
        </w:rPr>
      </w:pPr>
      <w:r w:rsidRPr="00954D98">
        <w:rPr>
          <w:noProof/>
          <w:szCs w:val="28"/>
          <w:lang w:val="vi-VN"/>
        </w:rPr>
        <w:t>b) Phó Chủ tịch Hội đồng: 600.000 đồng/người/buổi;</w:t>
      </w:r>
    </w:p>
    <w:p w14:paraId="6BDC703F" w14:textId="77777777" w:rsidR="00072BEC" w:rsidRPr="00954D98" w:rsidRDefault="00072BEC" w:rsidP="00072BEC">
      <w:pPr>
        <w:pStyle w:val="NormalWeb"/>
        <w:widowControl w:val="0"/>
        <w:shd w:val="clear" w:color="auto" w:fill="FFFFFF"/>
        <w:spacing w:before="120" w:after="100" w:line="276" w:lineRule="auto"/>
        <w:ind w:firstLine="720"/>
        <w:jc w:val="both"/>
        <w:rPr>
          <w:noProof/>
          <w:szCs w:val="28"/>
          <w:lang w:val="vi-VN"/>
        </w:rPr>
      </w:pPr>
      <w:r w:rsidRPr="00954D98">
        <w:rPr>
          <w:noProof/>
          <w:szCs w:val="28"/>
          <w:lang w:val="vi-VN"/>
        </w:rPr>
        <w:t>c) Ủy viên, thư ký Hội đồng: 300.000 đồng/người/buổi;</w:t>
      </w:r>
    </w:p>
    <w:p w14:paraId="02CB24B1" w14:textId="77777777" w:rsidR="00072BEC" w:rsidRPr="00954D98" w:rsidRDefault="00072BEC" w:rsidP="00072BEC">
      <w:pPr>
        <w:pStyle w:val="NormalWeb"/>
        <w:widowControl w:val="0"/>
        <w:shd w:val="clear" w:color="auto" w:fill="FFFFFF"/>
        <w:spacing w:before="120" w:after="100" w:line="276" w:lineRule="auto"/>
        <w:ind w:firstLine="720"/>
        <w:jc w:val="both"/>
        <w:rPr>
          <w:noProof/>
          <w:szCs w:val="28"/>
          <w:lang w:val="vi-VN"/>
        </w:rPr>
      </w:pPr>
      <w:r w:rsidRPr="00954D98">
        <w:rPr>
          <w:noProof/>
          <w:szCs w:val="28"/>
          <w:lang w:val="vi-VN"/>
        </w:rPr>
        <w:t>d) Đại biểu được mời tham dự: 150.000 đồng/người/buổi;</w:t>
      </w:r>
    </w:p>
    <w:p w14:paraId="464B3AE5" w14:textId="77777777" w:rsidR="00072BEC" w:rsidRPr="00954D98" w:rsidRDefault="00072BEC" w:rsidP="00072BEC">
      <w:pPr>
        <w:pStyle w:val="NormalWeb"/>
        <w:widowControl w:val="0"/>
        <w:shd w:val="clear" w:color="auto" w:fill="FFFFFF"/>
        <w:spacing w:before="120" w:after="100" w:line="276" w:lineRule="auto"/>
        <w:ind w:firstLine="720"/>
        <w:jc w:val="both"/>
        <w:rPr>
          <w:noProof/>
          <w:szCs w:val="28"/>
          <w:lang w:val="vi-VN"/>
        </w:rPr>
      </w:pPr>
      <w:r w:rsidRPr="00954D98">
        <w:rPr>
          <w:noProof/>
          <w:szCs w:val="28"/>
          <w:lang w:val="vi-VN"/>
        </w:rPr>
        <w:t>đ) Bài nhận xét của ủy viên phản biện: 500.000 đồng/bài viết;</w:t>
      </w:r>
    </w:p>
    <w:p w14:paraId="4F1F3D8F" w14:textId="77777777" w:rsidR="00072BEC" w:rsidRPr="00954D98" w:rsidRDefault="00072BEC" w:rsidP="00072BEC">
      <w:pPr>
        <w:pStyle w:val="NormalWeb"/>
        <w:widowControl w:val="0"/>
        <w:shd w:val="clear" w:color="auto" w:fill="FFFFFF"/>
        <w:spacing w:before="120" w:after="100" w:line="276" w:lineRule="auto"/>
        <w:ind w:firstLine="720"/>
        <w:jc w:val="both"/>
        <w:rPr>
          <w:noProof/>
          <w:szCs w:val="28"/>
          <w:lang w:val="vi-VN"/>
        </w:rPr>
      </w:pPr>
      <w:r w:rsidRPr="00954D98">
        <w:rPr>
          <w:noProof/>
          <w:szCs w:val="28"/>
          <w:lang w:val="vi-VN"/>
        </w:rPr>
        <w:t>e) Bài nhận xét của ủy viên hội đồng: 300.000 đồng/bài viết;</w:t>
      </w:r>
    </w:p>
    <w:p w14:paraId="7C8963AC" w14:textId="77777777" w:rsidR="00072BEC" w:rsidRPr="00954D98" w:rsidRDefault="00072BEC" w:rsidP="00072BEC">
      <w:pPr>
        <w:pStyle w:val="NormalWeb"/>
        <w:widowControl w:val="0"/>
        <w:shd w:val="clear" w:color="auto" w:fill="FFFFFF"/>
        <w:spacing w:before="120" w:after="100" w:line="276" w:lineRule="auto"/>
        <w:ind w:firstLine="720"/>
        <w:jc w:val="both"/>
        <w:rPr>
          <w:noProof/>
          <w:szCs w:val="28"/>
          <w:lang w:val="vi-VN"/>
        </w:rPr>
      </w:pPr>
      <w:r w:rsidRPr="00954D98">
        <w:rPr>
          <w:noProof/>
          <w:szCs w:val="28"/>
          <w:lang w:val="vi-VN"/>
        </w:rPr>
        <w:t>h) Ý kiến nhận xét, đánh giá của chuyên gia, nhà quản lý đối với các báo cáo đã được chủ đầu tư hoàn thiện theo ý kiến của Hội đồng (số lượng nhận xét do cơ quan thẩm định quyết định nhưng không quá 03): 400.000 đồng/bài viết.</w:t>
      </w:r>
    </w:p>
    <w:p w14:paraId="3DC1BDB0" w14:textId="77777777" w:rsidR="00072BEC" w:rsidRPr="00954D98" w:rsidRDefault="00072BEC" w:rsidP="00072BEC">
      <w:pPr>
        <w:pStyle w:val="NormalWeb"/>
        <w:widowControl w:val="0"/>
        <w:shd w:val="clear" w:color="auto" w:fill="FFFFFF"/>
        <w:spacing w:before="120" w:after="100" w:line="276" w:lineRule="auto"/>
        <w:ind w:firstLine="720"/>
        <w:jc w:val="both"/>
        <w:rPr>
          <w:noProof/>
          <w:szCs w:val="28"/>
          <w:lang w:val="vi-VN"/>
        </w:rPr>
      </w:pPr>
      <w:r w:rsidRPr="00954D98">
        <w:rPr>
          <w:noProof/>
          <w:szCs w:val="28"/>
          <w:lang w:val="vi-VN"/>
        </w:rPr>
        <w:t>7. Chi cho hội thảo khoa học</w:t>
      </w:r>
      <w:r w:rsidRPr="00954D98">
        <w:rPr>
          <w:noProof/>
          <w:szCs w:val="28"/>
          <w:lang w:val="vi-VN"/>
        </w:rPr>
        <w:tab/>
      </w:r>
      <w:r w:rsidRPr="00954D98">
        <w:rPr>
          <w:noProof/>
          <w:szCs w:val="28"/>
          <w:lang w:val="vi-VN"/>
        </w:rPr>
        <w:tab/>
      </w:r>
      <w:r w:rsidRPr="00954D98">
        <w:rPr>
          <w:noProof/>
          <w:szCs w:val="28"/>
          <w:lang w:val="vi-VN"/>
        </w:rPr>
        <w:tab/>
      </w:r>
    </w:p>
    <w:p w14:paraId="4C96DAAF" w14:textId="77777777" w:rsidR="00072BEC" w:rsidRPr="00954D98" w:rsidRDefault="00072BEC" w:rsidP="00072BEC">
      <w:pPr>
        <w:pStyle w:val="NormalWeb"/>
        <w:widowControl w:val="0"/>
        <w:shd w:val="clear" w:color="auto" w:fill="FFFFFF"/>
        <w:spacing w:before="120" w:after="100" w:line="276" w:lineRule="auto"/>
        <w:ind w:firstLine="720"/>
        <w:jc w:val="both"/>
        <w:rPr>
          <w:noProof/>
          <w:szCs w:val="28"/>
          <w:lang w:val="vi-VN"/>
        </w:rPr>
      </w:pPr>
      <w:r w:rsidRPr="00954D98">
        <w:rPr>
          <w:noProof/>
          <w:szCs w:val="28"/>
          <w:lang w:val="vi-VN"/>
        </w:rPr>
        <w:t>a) Người chủ trì: 500.000 đồng/người/buổi;</w:t>
      </w:r>
    </w:p>
    <w:p w14:paraId="52504BEE" w14:textId="77777777" w:rsidR="00072BEC" w:rsidRPr="00954D98" w:rsidRDefault="00072BEC" w:rsidP="00072BEC">
      <w:pPr>
        <w:pStyle w:val="NormalWeb"/>
        <w:widowControl w:val="0"/>
        <w:shd w:val="clear" w:color="auto" w:fill="FFFFFF"/>
        <w:spacing w:before="120" w:after="100" w:line="276" w:lineRule="auto"/>
        <w:ind w:firstLine="720"/>
        <w:jc w:val="both"/>
        <w:rPr>
          <w:noProof/>
          <w:szCs w:val="28"/>
          <w:lang w:val="vi-VN"/>
        </w:rPr>
      </w:pPr>
      <w:r w:rsidRPr="00954D98">
        <w:rPr>
          <w:noProof/>
          <w:szCs w:val="28"/>
          <w:lang w:val="vi-VN"/>
        </w:rPr>
        <w:t>b) Thư ký hội thảo: 300.000 đồng/người/buổi;</w:t>
      </w:r>
    </w:p>
    <w:p w14:paraId="6D7DD9ED" w14:textId="77777777" w:rsidR="00072BEC" w:rsidRPr="00954D98" w:rsidRDefault="00072BEC" w:rsidP="00072BEC">
      <w:pPr>
        <w:pStyle w:val="NormalWeb"/>
        <w:widowControl w:val="0"/>
        <w:shd w:val="clear" w:color="auto" w:fill="FFFFFF"/>
        <w:spacing w:before="120" w:after="100" w:line="276" w:lineRule="auto"/>
        <w:ind w:firstLine="720"/>
        <w:jc w:val="both"/>
        <w:rPr>
          <w:noProof/>
          <w:szCs w:val="28"/>
          <w:lang w:val="vi-VN"/>
        </w:rPr>
      </w:pPr>
      <w:r w:rsidRPr="00954D98">
        <w:rPr>
          <w:noProof/>
          <w:szCs w:val="28"/>
          <w:lang w:val="vi-VN"/>
        </w:rPr>
        <w:t>c) Đại biểu được mời tham dự: 150.000 đồng/người/buổi;</w:t>
      </w:r>
    </w:p>
    <w:p w14:paraId="101E4B97" w14:textId="77777777" w:rsidR="00072BEC" w:rsidRPr="00954D98" w:rsidRDefault="00072BEC" w:rsidP="00072BEC">
      <w:pPr>
        <w:pStyle w:val="NormalWeb"/>
        <w:widowControl w:val="0"/>
        <w:shd w:val="clear" w:color="auto" w:fill="FFFFFF"/>
        <w:spacing w:before="120" w:after="100" w:line="276" w:lineRule="auto"/>
        <w:ind w:firstLine="720"/>
        <w:jc w:val="both"/>
        <w:rPr>
          <w:noProof/>
          <w:szCs w:val="28"/>
          <w:lang w:val="vi-VN"/>
        </w:rPr>
      </w:pPr>
      <w:r w:rsidRPr="00954D98">
        <w:rPr>
          <w:noProof/>
          <w:szCs w:val="28"/>
          <w:lang w:val="vi-VN"/>
        </w:rPr>
        <w:t>d) Báo cáo tham luận: 350.000 đồng/bài viết.</w:t>
      </w:r>
    </w:p>
    <w:p w14:paraId="7546A84F" w14:textId="77777777" w:rsidR="00072BEC" w:rsidRPr="00954D98" w:rsidRDefault="00072BEC" w:rsidP="00072BEC">
      <w:pPr>
        <w:pStyle w:val="NormalWeb"/>
        <w:widowControl w:val="0"/>
        <w:shd w:val="clear" w:color="auto" w:fill="FFFFFF"/>
        <w:spacing w:before="120" w:after="100" w:line="276" w:lineRule="auto"/>
        <w:ind w:firstLine="720"/>
        <w:jc w:val="both"/>
        <w:rPr>
          <w:noProof/>
          <w:szCs w:val="28"/>
          <w:lang w:val="vi-VN"/>
        </w:rPr>
      </w:pPr>
      <w:r w:rsidRPr="00954D98">
        <w:rPr>
          <w:noProof/>
          <w:szCs w:val="28"/>
          <w:lang w:val="vi-VN"/>
        </w:rPr>
        <w:t>8. Cho Hội đồng nghiệm thu dự án, nhiệm vụ</w:t>
      </w:r>
    </w:p>
    <w:p w14:paraId="32B3D157" w14:textId="77777777" w:rsidR="00072BEC" w:rsidRPr="00954D98" w:rsidRDefault="00072BEC" w:rsidP="00072BEC">
      <w:pPr>
        <w:pStyle w:val="NormalWeb"/>
        <w:widowControl w:val="0"/>
        <w:shd w:val="clear" w:color="auto" w:fill="FFFFFF"/>
        <w:spacing w:before="120" w:after="100" w:line="276" w:lineRule="auto"/>
        <w:ind w:firstLine="720"/>
        <w:jc w:val="both"/>
        <w:rPr>
          <w:noProof/>
          <w:szCs w:val="28"/>
          <w:lang w:val="vi-VN"/>
        </w:rPr>
      </w:pPr>
      <w:r w:rsidRPr="00954D98">
        <w:rPr>
          <w:noProof/>
          <w:szCs w:val="28"/>
          <w:lang w:val="vi-VN"/>
        </w:rPr>
        <w:t>a) Nghiệm thu nhiệm vụ:</w:t>
      </w:r>
      <w:r w:rsidRPr="00954D98">
        <w:rPr>
          <w:noProof/>
          <w:szCs w:val="28"/>
          <w:lang w:val="vi-VN"/>
        </w:rPr>
        <w:tab/>
      </w:r>
      <w:r w:rsidRPr="00954D98">
        <w:rPr>
          <w:noProof/>
          <w:szCs w:val="28"/>
          <w:lang w:val="vi-VN"/>
        </w:rPr>
        <w:tab/>
      </w:r>
      <w:r w:rsidRPr="00954D98">
        <w:rPr>
          <w:noProof/>
          <w:szCs w:val="28"/>
          <w:lang w:val="vi-VN"/>
        </w:rPr>
        <w:tab/>
      </w:r>
    </w:p>
    <w:p w14:paraId="3772CD26" w14:textId="77777777" w:rsidR="00072BEC" w:rsidRPr="00954D98" w:rsidRDefault="00072BEC" w:rsidP="00072BEC">
      <w:pPr>
        <w:pStyle w:val="NormalWeb"/>
        <w:widowControl w:val="0"/>
        <w:shd w:val="clear" w:color="auto" w:fill="FFFFFF"/>
        <w:spacing w:before="120" w:after="100" w:line="276" w:lineRule="auto"/>
        <w:ind w:firstLine="720"/>
        <w:jc w:val="both"/>
        <w:rPr>
          <w:noProof/>
          <w:szCs w:val="28"/>
          <w:lang w:val="vi-VN"/>
        </w:rPr>
      </w:pPr>
      <w:r w:rsidRPr="00954D98">
        <w:rPr>
          <w:noProof/>
          <w:szCs w:val="28"/>
          <w:lang w:val="vi-VN"/>
        </w:rPr>
        <w:t>Chủ tịch Hội đồng: 400.000 đồng/người/buổi;</w:t>
      </w:r>
      <w:r w:rsidRPr="00954D98">
        <w:rPr>
          <w:noProof/>
          <w:szCs w:val="28"/>
          <w:lang w:val="vi-VN"/>
        </w:rPr>
        <w:tab/>
      </w:r>
    </w:p>
    <w:p w14:paraId="4A34FCC7" w14:textId="77777777" w:rsidR="00072BEC" w:rsidRPr="00954D98" w:rsidRDefault="00072BEC" w:rsidP="00072BEC">
      <w:pPr>
        <w:pStyle w:val="NormalWeb"/>
        <w:widowControl w:val="0"/>
        <w:shd w:val="clear" w:color="auto" w:fill="FFFFFF"/>
        <w:spacing w:before="120" w:after="100" w:line="276" w:lineRule="auto"/>
        <w:ind w:firstLine="720"/>
        <w:jc w:val="both"/>
        <w:rPr>
          <w:noProof/>
          <w:szCs w:val="28"/>
          <w:lang w:val="vi-VN"/>
        </w:rPr>
      </w:pPr>
      <w:r w:rsidRPr="00954D98">
        <w:rPr>
          <w:noProof/>
          <w:szCs w:val="28"/>
          <w:lang w:val="vi-VN"/>
        </w:rPr>
        <w:t>Thành viên, thư ký: 200.000 đồng/người/buổi;</w:t>
      </w:r>
    </w:p>
    <w:p w14:paraId="6DD22D31" w14:textId="77777777" w:rsidR="00072BEC" w:rsidRPr="00954D98" w:rsidRDefault="00072BEC" w:rsidP="00072BEC">
      <w:pPr>
        <w:pStyle w:val="NormalWeb"/>
        <w:widowControl w:val="0"/>
        <w:shd w:val="clear" w:color="auto" w:fill="FFFFFF"/>
        <w:spacing w:before="120" w:after="100" w:line="276" w:lineRule="auto"/>
        <w:ind w:firstLine="720"/>
        <w:jc w:val="both"/>
        <w:rPr>
          <w:noProof/>
          <w:szCs w:val="28"/>
          <w:lang w:val="vi-VN"/>
        </w:rPr>
      </w:pPr>
      <w:r w:rsidRPr="00954D98">
        <w:rPr>
          <w:noProof/>
          <w:szCs w:val="28"/>
          <w:lang w:val="vi-VN"/>
        </w:rPr>
        <w:t>b) Nghiệm thu dự án:</w:t>
      </w:r>
    </w:p>
    <w:p w14:paraId="331C94E8" w14:textId="77777777" w:rsidR="00072BEC" w:rsidRPr="00954D98" w:rsidRDefault="00072BEC" w:rsidP="00072BEC">
      <w:pPr>
        <w:pStyle w:val="NormalWeb"/>
        <w:widowControl w:val="0"/>
        <w:shd w:val="clear" w:color="auto" w:fill="FFFFFF"/>
        <w:spacing w:before="120" w:after="100" w:line="276" w:lineRule="auto"/>
        <w:ind w:firstLine="720"/>
        <w:jc w:val="both"/>
        <w:rPr>
          <w:noProof/>
          <w:szCs w:val="28"/>
          <w:lang w:val="vi-VN"/>
        </w:rPr>
      </w:pPr>
      <w:r w:rsidRPr="00954D98">
        <w:rPr>
          <w:noProof/>
          <w:szCs w:val="28"/>
          <w:lang w:val="vi-VN"/>
        </w:rPr>
        <w:t>Chủ tịch Hội đồng: 700.000 đồng/người/buổi;</w:t>
      </w:r>
    </w:p>
    <w:p w14:paraId="6A895588" w14:textId="77777777" w:rsidR="00072BEC" w:rsidRPr="00954D98" w:rsidRDefault="00072BEC" w:rsidP="00072BEC">
      <w:pPr>
        <w:pStyle w:val="NormalWeb"/>
        <w:widowControl w:val="0"/>
        <w:shd w:val="clear" w:color="auto" w:fill="FFFFFF"/>
        <w:spacing w:before="120" w:after="100" w:line="276" w:lineRule="auto"/>
        <w:ind w:firstLine="720"/>
        <w:jc w:val="both"/>
        <w:rPr>
          <w:noProof/>
          <w:szCs w:val="28"/>
          <w:lang w:val="vi-VN"/>
        </w:rPr>
      </w:pPr>
      <w:r w:rsidRPr="00954D98">
        <w:rPr>
          <w:noProof/>
          <w:szCs w:val="28"/>
          <w:lang w:val="vi-VN"/>
        </w:rPr>
        <w:t>Thành viên, thư ký hội đồng: 400.000 đồng/người/buổi;</w:t>
      </w:r>
    </w:p>
    <w:p w14:paraId="31A326A9" w14:textId="77777777" w:rsidR="00072BEC" w:rsidRPr="00954D98" w:rsidRDefault="00072BEC" w:rsidP="00072BEC">
      <w:pPr>
        <w:pStyle w:val="NormalWeb"/>
        <w:widowControl w:val="0"/>
        <w:shd w:val="clear" w:color="auto" w:fill="FFFFFF"/>
        <w:spacing w:before="120" w:after="100" w:line="276" w:lineRule="auto"/>
        <w:ind w:firstLine="720"/>
        <w:jc w:val="both"/>
        <w:rPr>
          <w:noProof/>
          <w:szCs w:val="28"/>
          <w:lang w:val="vi-VN"/>
        </w:rPr>
      </w:pPr>
      <w:r w:rsidRPr="00954D98">
        <w:rPr>
          <w:noProof/>
          <w:szCs w:val="28"/>
          <w:lang w:val="vi-VN"/>
        </w:rPr>
        <w:t>Nhận xét đánh giá của ủy viên phản biện: 500.000 đồng/bài viết;</w:t>
      </w:r>
    </w:p>
    <w:p w14:paraId="5B0EFC95" w14:textId="77777777" w:rsidR="00072BEC" w:rsidRPr="00954D98" w:rsidRDefault="00072BEC" w:rsidP="00072BEC">
      <w:pPr>
        <w:pStyle w:val="NormalWeb"/>
        <w:widowControl w:val="0"/>
        <w:shd w:val="clear" w:color="auto" w:fill="FFFFFF"/>
        <w:spacing w:before="120" w:after="100" w:line="276" w:lineRule="auto"/>
        <w:ind w:firstLine="720"/>
        <w:jc w:val="both"/>
        <w:rPr>
          <w:noProof/>
          <w:szCs w:val="28"/>
          <w:lang w:val="vi-VN"/>
        </w:rPr>
      </w:pPr>
      <w:r w:rsidRPr="00954D98">
        <w:rPr>
          <w:noProof/>
          <w:szCs w:val="28"/>
          <w:lang w:val="vi-VN"/>
        </w:rPr>
        <w:t>Nhận xét đánh giá của ủy viên hội đồng (nếu có): 400.000 đồng/bài viết;</w:t>
      </w:r>
    </w:p>
    <w:p w14:paraId="68FCBC24" w14:textId="77777777" w:rsidR="00072BEC" w:rsidRPr="00954D98" w:rsidRDefault="00072BEC" w:rsidP="00072BEC">
      <w:pPr>
        <w:pStyle w:val="NormalWeb"/>
        <w:widowControl w:val="0"/>
        <w:shd w:val="clear" w:color="auto" w:fill="FFFFFF"/>
        <w:spacing w:before="120" w:after="100" w:line="276" w:lineRule="auto"/>
        <w:ind w:firstLine="720"/>
        <w:jc w:val="both"/>
        <w:rPr>
          <w:noProof/>
          <w:szCs w:val="28"/>
          <w:lang w:val="vi-VN"/>
        </w:rPr>
      </w:pPr>
      <w:r w:rsidRPr="00954D98">
        <w:rPr>
          <w:noProof/>
          <w:szCs w:val="28"/>
          <w:lang w:val="vi-VN"/>
        </w:rPr>
        <w:t>Đại biểu được mời tham dự: 150.000 đồng/người/buổi.</w:t>
      </w:r>
    </w:p>
    <w:p w14:paraId="42CA8D04" w14:textId="77777777" w:rsidR="00072BEC" w:rsidRPr="00954D98" w:rsidRDefault="00072BEC" w:rsidP="00072BEC">
      <w:pPr>
        <w:pStyle w:val="NormalWeb"/>
        <w:widowControl w:val="0"/>
        <w:shd w:val="clear" w:color="auto" w:fill="FFFFFF"/>
        <w:spacing w:before="120" w:after="100" w:line="276" w:lineRule="auto"/>
        <w:ind w:firstLine="720"/>
        <w:jc w:val="both"/>
        <w:rPr>
          <w:noProof/>
          <w:szCs w:val="28"/>
          <w:lang w:val="vi-VN"/>
        </w:rPr>
      </w:pPr>
      <w:r w:rsidRPr="00954D98">
        <w:rPr>
          <w:noProof/>
          <w:szCs w:val="28"/>
          <w:lang w:val="vi-VN"/>
        </w:rPr>
        <w:t>9. Chi giải thưởng môi trường cấp tỉnh</w:t>
      </w:r>
      <w:r w:rsidRPr="00954D98">
        <w:rPr>
          <w:noProof/>
          <w:szCs w:val="28"/>
          <w:lang w:val="vi-VN"/>
        </w:rPr>
        <w:tab/>
      </w:r>
      <w:r w:rsidRPr="00954D98">
        <w:rPr>
          <w:noProof/>
          <w:szCs w:val="28"/>
          <w:lang w:val="vi-VN"/>
        </w:rPr>
        <w:tab/>
      </w:r>
      <w:r w:rsidRPr="00954D98">
        <w:rPr>
          <w:noProof/>
          <w:szCs w:val="28"/>
          <w:lang w:val="vi-VN"/>
        </w:rPr>
        <w:tab/>
      </w:r>
    </w:p>
    <w:p w14:paraId="6F90A76B" w14:textId="2442814D" w:rsidR="00072BEC" w:rsidRPr="00954D98" w:rsidRDefault="00072BEC" w:rsidP="00072BEC">
      <w:pPr>
        <w:pStyle w:val="NormalWeb"/>
        <w:widowControl w:val="0"/>
        <w:shd w:val="clear" w:color="auto" w:fill="FFFFFF"/>
        <w:spacing w:before="120" w:after="100" w:line="276" w:lineRule="auto"/>
        <w:ind w:firstLine="720"/>
        <w:jc w:val="both"/>
        <w:rPr>
          <w:noProof/>
          <w:szCs w:val="28"/>
          <w:lang w:val="vi-VN"/>
        </w:rPr>
      </w:pPr>
      <w:r w:rsidRPr="00954D98">
        <w:rPr>
          <w:noProof/>
          <w:szCs w:val="28"/>
          <w:lang w:val="vi-VN"/>
        </w:rPr>
        <w:t>a) Tổ chức, cộng đồng: 15.000.000 đồng</w:t>
      </w:r>
      <w:r w:rsidR="003110D6" w:rsidRPr="00954D98">
        <w:rPr>
          <w:noProof/>
          <w:szCs w:val="28"/>
          <w:lang w:val="vi-VN"/>
        </w:rPr>
        <w:t>/giải thưởng</w:t>
      </w:r>
      <w:r w:rsidRPr="00954D98">
        <w:rPr>
          <w:noProof/>
          <w:szCs w:val="28"/>
          <w:lang w:val="vi-VN"/>
        </w:rPr>
        <w:t>;</w:t>
      </w:r>
    </w:p>
    <w:p w14:paraId="1B73B354" w14:textId="016EB186" w:rsidR="00072BEC" w:rsidRPr="00954D98" w:rsidRDefault="00072BEC" w:rsidP="00072BEC">
      <w:pPr>
        <w:pStyle w:val="NormalWeb"/>
        <w:widowControl w:val="0"/>
        <w:shd w:val="clear" w:color="auto" w:fill="FFFFFF"/>
        <w:spacing w:before="120" w:after="100" w:line="276" w:lineRule="auto"/>
        <w:ind w:firstLine="720"/>
        <w:jc w:val="both"/>
        <w:rPr>
          <w:noProof/>
          <w:szCs w:val="28"/>
          <w:lang w:val="vi-VN"/>
        </w:rPr>
      </w:pPr>
      <w:r w:rsidRPr="00954D98">
        <w:rPr>
          <w:noProof/>
          <w:szCs w:val="28"/>
          <w:lang w:val="vi-VN"/>
        </w:rPr>
        <w:t>b) Cá nhân: 10.000.000 đồng</w:t>
      </w:r>
      <w:r w:rsidR="003110D6" w:rsidRPr="00954D98">
        <w:rPr>
          <w:noProof/>
          <w:szCs w:val="28"/>
          <w:lang w:val="vi-VN"/>
        </w:rPr>
        <w:t>/giải thưởng</w:t>
      </w:r>
      <w:r w:rsidRPr="00954D98">
        <w:rPr>
          <w:noProof/>
          <w:szCs w:val="28"/>
          <w:lang w:val="vi-VN"/>
        </w:rPr>
        <w:t>.</w:t>
      </w:r>
    </w:p>
    <w:p w14:paraId="40B34FF1" w14:textId="77777777" w:rsidR="00072BEC" w:rsidRPr="00954D98" w:rsidRDefault="00072BEC" w:rsidP="00072BEC">
      <w:pPr>
        <w:pStyle w:val="NormalWeb"/>
        <w:widowControl w:val="0"/>
        <w:shd w:val="clear" w:color="auto" w:fill="FFFFFF"/>
        <w:spacing w:before="120" w:line="276" w:lineRule="auto"/>
        <w:ind w:firstLine="720"/>
        <w:jc w:val="both"/>
        <w:rPr>
          <w:b/>
          <w:noProof/>
          <w:szCs w:val="28"/>
          <w:lang w:val="vi-VN"/>
        </w:rPr>
      </w:pPr>
      <w:r w:rsidRPr="00954D98">
        <w:rPr>
          <w:b/>
          <w:noProof/>
          <w:szCs w:val="28"/>
          <w:lang w:val="vi-VN"/>
        </w:rPr>
        <w:t>Điều 3. Nguồn kinh phí thực hiện</w:t>
      </w:r>
    </w:p>
    <w:p w14:paraId="3A0EB3C2" w14:textId="54A5787B" w:rsidR="00072BEC" w:rsidRPr="00954D98" w:rsidRDefault="00072BEC" w:rsidP="00072BEC">
      <w:pPr>
        <w:autoSpaceDE w:val="0"/>
        <w:autoSpaceDN w:val="0"/>
        <w:adjustRightInd w:val="0"/>
        <w:spacing w:before="120" w:after="100" w:line="276" w:lineRule="auto"/>
        <w:ind w:firstLine="720"/>
        <w:jc w:val="both"/>
        <w:rPr>
          <w:b/>
          <w:bCs/>
          <w:noProof/>
          <w:sz w:val="28"/>
          <w:szCs w:val="28"/>
          <w:lang w:val="vi-VN"/>
        </w:rPr>
      </w:pPr>
      <w:r w:rsidRPr="00954D98">
        <w:rPr>
          <w:rFonts w:ascii="TimesNewRomanPSMT" w:eastAsiaTheme="minorHAnsi" w:hAnsi="TimesNewRomanPSMT" w:cs="TimesNewRomanPSMT"/>
          <w:noProof/>
          <w:sz w:val="28"/>
          <w:szCs w:val="28"/>
          <w:lang w:val="vi-VN"/>
          <w14:ligatures w14:val="standardContextual"/>
        </w:rPr>
        <w:t>Từ nguồn ngân sách địa phương phân bổ cho sự nghiệp bảo vệ môi trường và nguồn khác theo quy định của pháp luật (nếu có).</w:t>
      </w:r>
    </w:p>
    <w:p w14:paraId="6112DFD5" w14:textId="77777777" w:rsidR="00072BEC" w:rsidRPr="00954D98" w:rsidRDefault="00072BEC" w:rsidP="00072BEC">
      <w:pPr>
        <w:widowControl w:val="0"/>
        <w:spacing w:before="100" w:after="100" w:line="276" w:lineRule="auto"/>
        <w:ind w:firstLine="720"/>
        <w:jc w:val="both"/>
        <w:rPr>
          <w:noProof/>
          <w:sz w:val="28"/>
          <w:szCs w:val="28"/>
          <w:lang w:val="vi-VN"/>
        </w:rPr>
      </w:pPr>
      <w:r w:rsidRPr="00954D98">
        <w:rPr>
          <w:b/>
          <w:bCs/>
          <w:noProof/>
          <w:sz w:val="28"/>
          <w:szCs w:val="28"/>
          <w:lang w:val="vi-VN"/>
        </w:rPr>
        <w:t>Điều 4. Điều khoản thi hành</w:t>
      </w:r>
    </w:p>
    <w:p w14:paraId="2A43D8E7" w14:textId="3896E339" w:rsidR="00072BEC" w:rsidRPr="00954D98" w:rsidRDefault="007F00F0" w:rsidP="00072BEC">
      <w:pPr>
        <w:widowControl w:val="0"/>
        <w:spacing w:before="100" w:after="100" w:line="276" w:lineRule="auto"/>
        <w:ind w:firstLine="720"/>
        <w:jc w:val="both"/>
        <w:rPr>
          <w:bCs/>
          <w:noProof/>
          <w:sz w:val="28"/>
          <w:szCs w:val="28"/>
          <w:lang w:val="vi-VN"/>
        </w:rPr>
      </w:pPr>
      <w:r w:rsidRPr="007F00F0">
        <w:rPr>
          <w:bCs/>
          <w:noProof/>
          <w:sz w:val="28"/>
          <w:szCs w:val="28"/>
          <w:lang w:val="vi-VN"/>
        </w:rPr>
        <w:t>1</w:t>
      </w:r>
      <w:r w:rsidR="00072BEC" w:rsidRPr="00954D98">
        <w:rPr>
          <w:bCs/>
          <w:noProof/>
          <w:sz w:val="28"/>
          <w:szCs w:val="28"/>
          <w:lang w:val="vi-VN"/>
        </w:rPr>
        <w:t>. Ủy ban nhân dân tỉnh tổ chức triển khai thực hiện Nghị quyết đảm bảo đúng các quy định của pháp luật.</w:t>
      </w:r>
    </w:p>
    <w:p w14:paraId="07E4CF77" w14:textId="5038CDC0" w:rsidR="00072BEC" w:rsidRPr="00954D98" w:rsidRDefault="007F00F0" w:rsidP="00072BEC">
      <w:pPr>
        <w:widowControl w:val="0"/>
        <w:spacing w:before="100" w:after="100" w:line="276" w:lineRule="auto"/>
        <w:ind w:firstLine="720"/>
        <w:jc w:val="both"/>
        <w:rPr>
          <w:bCs/>
          <w:noProof/>
          <w:sz w:val="28"/>
          <w:szCs w:val="28"/>
          <w:lang w:val="vi-VN"/>
        </w:rPr>
      </w:pPr>
      <w:r w:rsidRPr="009212A7">
        <w:rPr>
          <w:bCs/>
          <w:noProof/>
          <w:sz w:val="28"/>
          <w:szCs w:val="28"/>
          <w:lang w:val="vi-VN"/>
        </w:rPr>
        <w:t>2</w:t>
      </w:r>
      <w:r w:rsidR="00072BEC" w:rsidRPr="00954D98">
        <w:rPr>
          <w:bCs/>
          <w:noProof/>
          <w:sz w:val="28"/>
          <w:szCs w:val="28"/>
          <w:lang w:val="vi-VN"/>
        </w:rPr>
        <w:t>. Thường trực Hội đồng nhân dân, các Ban Hội đồng nhân dân, các Tổ đại biểu Hội đồng nhân dân và đại biểu Hội đồng nhân dân tỉnh giám sát việc thực hiện Nghị quyết.</w:t>
      </w:r>
    </w:p>
    <w:p w14:paraId="6FF7CEE3" w14:textId="77A9A279" w:rsidR="00072BEC" w:rsidRPr="00954D98" w:rsidRDefault="00072BEC" w:rsidP="00072BEC">
      <w:pPr>
        <w:widowControl w:val="0"/>
        <w:spacing w:before="100" w:after="100" w:line="276" w:lineRule="auto"/>
        <w:ind w:firstLine="720"/>
        <w:jc w:val="both"/>
        <w:rPr>
          <w:bCs/>
          <w:i/>
          <w:iCs/>
          <w:noProof/>
          <w:sz w:val="28"/>
          <w:szCs w:val="28"/>
          <w:lang w:val="vi-VN"/>
        </w:rPr>
      </w:pPr>
      <w:r w:rsidRPr="00954D98">
        <w:rPr>
          <w:bCs/>
          <w:i/>
          <w:iCs/>
          <w:noProof/>
          <w:sz w:val="28"/>
          <w:szCs w:val="28"/>
          <w:lang w:val="vi-VN"/>
        </w:rPr>
        <w:t xml:space="preserve">Nghị quyết này đã được Hội đồng nhân dân tỉnh Phú Thọ khóa XIX, </w:t>
      </w:r>
      <w:r w:rsidR="00111EF5" w:rsidRPr="00111EF5">
        <w:rPr>
          <w:bCs/>
          <w:i/>
          <w:iCs/>
          <w:noProof/>
          <w:sz w:val="28"/>
          <w:szCs w:val="28"/>
          <w:lang w:val="vi-VN"/>
        </w:rPr>
        <w:t>K</w:t>
      </w:r>
      <w:r w:rsidRPr="00954D98">
        <w:rPr>
          <w:bCs/>
          <w:i/>
          <w:iCs/>
          <w:noProof/>
          <w:sz w:val="28"/>
          <w:szCs w:val="28"/>
          <w:lang w:val="vi-VN"/>
        </w:rPr>
        <w:t xml:space="preserve">ỳ họp </w:t>
      </w:r>
      <w:r w:rsidR="0061459F" w:rsidRPr="00954D98">
        <w:rPr>
          <w:bCs/>
          <w:i/>
          <w:iCs/>
          <w:noProof/>
          <w:sz w:val="28"/>
          <w:szCs w:val="28"/>
          <w:lang w:val="vi-VN"/>
        </w:rPr>
        <w:t xml:space="preserve">thường lệ </w:t>
      </w:r>
      <w:r w:rsidRPr="00954D98">
        <w:rPr>
          <w:bCs/>
          <w:i/>
          <w:iCs/>
          <w:noProof/>
          <w:sz w:val="28"/>
          <w:szCs w:val="28"/>
          <w:lang w:val="vi-VN"/>
        </w:rPr>
        <w:t>thứ Hai thông qua ngày 10 tháng 12 năm 2025</w:t>
      </w:r>
      <w:r w:rsidR="009212A7" w:rsidRPr="009212A7">
        <w:rPr>
          <w:bCs/>
          <w:i/>
          <w:iCs/>
          <w:noProof/>
          <w:sz w:val="28"/>
          <w:szCs w:val="28"/>
          <w:lang w:val="vi-VN"/>
        </w:rPr>
        <w:t xml:space="preserve"> và có hiệu lực thi hành từ ngày 01 tháng 01 năm 2026</w:t>
      </w:r>
      <w:r w:rsidRPr="00954D98">
        <w:rPr>
          <w:bCs/>
          <w:i/>
          <w:iCs/>
          <w:noProof/>
          <w:sz w:val="28"/>
          <w:szCs w:val="28"/>
          <w:lang w:val="vi-VN"/>
        </w:rPr>
        <w:t>./.</w:t>
      </w:r>
    </w:p>
    <w:p w14:paraId="10C8BF52" w14:textId="77777777" w:rsidR="00072BEC" w:rsidRPr="00954D98" w:rsidRDefault="00072BEC" w:rsidP="00072BEC">
      <w:pPr>
        <w:widowControl w:val="0"/>
        <w:spacing w:line="276" w:lineRule="auto"/>
        <w:ind w:firstLine="720"/>
        <w:jc w:val="both"/>
        <w:rPr>
          <w:bCs/>
          <w:iCs/>
          <w:noProof/>
          <w:sz w:val="28"/>
          <w:szCs w:val="28"/>
          <w:lang w:val="vi-VN"/>
        </w:rPr>
      </w:pPr>
    </w:p>
    <w:tbl>
      <w:tblPr>
        <w:tblW w:w="9180" w:type="dxa"/>
        <w:tblInd w:w="-108" w:type="dxa"/>
        <w:tblBorders>
          <w:insideH w:val="single" w:sz="4" w:space="0" w:color="auto"/>
        </w:tblBorders>
        <w:tblLayout w:type="fixed"/>
        <w:tblLook w:val="04A0" w:firstRow="1" w:lastRow="0" w:firstColumn="1" w:lastColumn="0" w:noHBand="0" w:noVBand="1"/>
      </w:tblPr>
      <w:tblGrid>
        <w:gridCol w:w="4894"/>
        <w:gridCol w:w="4286"/>
      </w:tblGrid>
      <w:tr w:rsidR="00954D98" w:rsidRPr="007F00F0" w14:paraId="0CA04438" w14:textId="77777777" w:rsidTr="00EF0C16">
        <w:trPr>
          <w:trHeight w:val="4401"/>
        </w:trPr>
        <w:tc>
          <w:tcPr>
            <w:tcW w:w="4894" w:type="dxa"/>
            <w:hideMark/>
          </w:tcPr>
          <w:p w14:paraId="00607327" w14:textId="77777777" w:rsidR="00072BEC" w:rsidRPr="00954D98" w:rsidRDefault="00072BEC" w:rsidP="00954D98">
            <w:pPr>
              <w:shd w:val="clear" w:color="auto" w:fill="FFFFFF"/>
              <w:spacing w:before="20" w:line="276" w:lineRule="auto"/>
              <w:rPr>
                <w:b/>
                <w:bCs/>
                <w:i/>
                <w:iCs/>
                <w:noProof/>
                <w:sz w:val="24"/>
                <w:szCs w:val="24"/>
                <w:lang w:val="vi-VN"/>
              </w:rPr>
            </w:pPr>
            <w:r w:rsidRPr="00954D98">
              <w:rPr>
                <w:b/>
                <w:bCs/>
                <w:i/>
                <w:iCs/>
                <w:noProof/>
                <w:sz w:val="24"/>
                <w:szCs w:val="24"/>
                <w:lang w:val="vi-VN"/>
              </w:rPr>
              <w:t>Nơi nhận:</w:t>
            </w:r>
          </w:p>
          <w:p w14:paraId="0F2E41CA" w14:textId="77777777" w:rsidR="00072BEC" w:rsidRPr="00954D98" w:rsidRDefault="00072BEC" w:rsidP="00954D98">
            <w:pPr>
              <w:spacing w:before="20" w:line="276" w:lineRule="auto"/>
              <w:jc w:val="both"/>
              <w:rPr>
                <w:noProof/>
                <w:sz w:val="22"/>
                <w:szCs w:val="22"/>
                <w:lang w:val="vi-VN"/>
              </w:rPr>
            </w:pPr>
            <w:r w:rsidRPr="00954D98">
              <w:rPr>
                <w:noProof/>
                <w:sz w:val="22"/>
                <w:szCs w:val="22"/>
                <w:lang w:val="vi-VN"/>
              </w:rPr>
              <w:t>- UBTVQH, Chính phủ;</w:t>
            </w:r>
          </w:p>
          <w:p w14:paraId="7C9E92B6" w14:textId="77777777" w:rsidR="00072BEC" w:rsidRPr="00954D98" w:rsidRDefault="00072BEC" w:rsidP="00954D98">
            <w:pPr>
              <w:spacing w:before="20" w:line="276" w:lineRule="auto"/>
              <w:jc w:val="both"/>
              <w:rPr>
                <w:noProof/>
                <w:sz w:val="22"/>
                <w:szCs w:val="22"/>
                <w:lang w:val="vi-VN"/>
              </w:rPr>
            </w:pPr>
            <w:r w:rsidRPr="00954D98">
              <w:rPr>
                <w:noProof/>
                <w:sz w:val="22"/>
                <w:szCs w:val="22"/>
                <w:lang w:val="vi-VN"/>
              </w:rPr>
              <w:t>- VPQH, VPCP;</w:t>
            </w:r>
          </w:p>
          <w:p w14:paraId="6A6F3E64" w14:textId="21E628BC" w:rsidR="00072BEC" w:rsidRPr="00954D98" w:rsidRDefault="00072BEC" w:rsidP="00954D98">
            <w:pPr>
              <w:spacing w:before="20" w:line="276" w:lineRule="auto"/>
              <w:jc w:val="both"/>
              <w:rPr>
                <w:noProof/>
                <w:sz w:val="22"/>
                <w:szCs w:val="22"/>
                <w:lang w:val="vi-VN"/>
              </w:rPr>
            </w:pPr>
            <w:r w:rsidRPr="00954D98">
              <w:rPr>
                <w:noProof/>
                <w:sz w:val="22"/>
                <w:szCs w:val="22"/>
                <w:lang w:val="vi-VN"/>
              </w:rPr>
              <w:t xml:space="preserve">- Các </w:t>
            </w:r>
            <w:r w:rsidR="004D571B" w:rsidRPr="00111EF5">
              <w:rPr>
                <w:noProof/>
                <w:sz w:val="22"/>
                <w:szCs w:val="22"/>
                <w:lang w:val="vi-VN"/>
              </w:rPr>
              <w:t>B</w:t>
            </w:r>
            <w:r w:rsidRPr="00954D98">
              <w:rPr>
                <w:noProof/>
                <w:sz w:val="22"/>
                <w:szCs w:val="22"/>
                <w:lang w:val="vi-VN"/>
              </w:rPr>
              <w:t>ộ: Nông nghiệp và Môi trường, Tài chính;</w:t>
            </w:r>
          </w:p>
          <w:p w14:paraId="48B9727F" w14:textId="77777777" w:rsidR="00072BEC" w:rsidRPr="00954D98" w:rsidRDefault="00072BEC" w:rsidP="00954D98">
            <w:pPr>
              <w:spacing w:before="20" w:line="276" w:lineRule="auto"/>
              <w:jc w:val="both"/>
              <w:rPr>
                <w:noProof/>
                <w:sz w:val="22"/>
                <w:szCs w:val="22"/>
                <w:lang w:val="vi-VN"/>
              </w:rPr>
            </w:pPr>
            <w:r w:rsidRPr="00954D98">
              <w:rPr>
                <w:noProof/>
                <w:sz w:val="22"/>
                <w:szCs w:val="22"/>
                <w:lang w:val="vi-VN"/>
              </w:rPr>
              <w:t>- Cục KTVB và QLXLVPHC (Bộ Tư pháp);</w:t>
            </w:r>
          </w:p>
          <w:p w14:paraId="0D6A48C2" w14:textId="77777777" w:rsidR="00072BEC" w:rsidRPr="00954D98" w:rsidRDefault="00072BEC" w:rsidP="00954D98">
            <w:pPr>
              <w:spacing w:before="20" w:line="276" w:lineRule="auto"/>
              <w:jc w:val="both"/>
              <w:rPr>
                <w:noProof/>
                <w:sz w:val="22"/>
                <w:szCs w:val="22"/>
                <w:lang w:val="vi-VN"/>
              </w:rPr>
            </w:pPr>
            <w:r w:rsidRPr="00954D98">
              <w:rPr>
                <w:noProof/>
                <w:sz w:val="22"/>
                <w:szCs w:val="22"/>
                <w:lang w:val="vi-VN"/>
              </w:rPr>
              <w:t>- TTTU, TTHĐND, UBND, UBMTTQ tỉnh;</w:t>
            </w:r>
          </w:p>
          <w:p w14:paraId="4175ED0E" w14:textId="77777777" w:rsidR="00072BEC" w:rsidRPr="00954D98" w:rsidRDefault="00072BEC" w:rsidP="00954D98">
            <w:pPr>
              <w:spacing w:before="20" w:line="276" w:lineRule="auto"/>
              <w:jc w:val="both"/>
              <w:rPr>
                <w:noProof/>
                <w:sz w:val="22"/>
                <w:szCs w:val="22"/>
                <w:lang w:val="vi-VN"/>
              </w:rPr>
            </w:pPr>
            <w:r w:rsidRPr="00954D98">
              <w:rPr>
                <w:noProof/>
                <w:sz w:val="22"/>
                <w:szCs w:val="22"/>
                <w:lang w:val="vi-VN"/>
              </w:rPr>
              <w:t>- Đoàn ĐBQH tỉnh;</w:t>
            </w:r>
          </w:p>
          <w:p w14:paraId="6413FCDD" w14:textId="77777777" w:rsidR="00072BEC" w:rsidRPr="00954D98" w:rsidRDefault="00072BEC" w:rsidP="00954D98">
            <w:pPr>
              <w:spacing w:before="20" w:line="276" w:lineRule="auto"/>
              <w:jc w:val="both"/>
              <w:rPr>
                <w:noProof/>
                <w:sz w:val="22"/>
                <w:szCs w:val="22"/>
                <w:lang w:val="vi-VN"/>
              </w:rPr>
            </w:pPr>
            <w:r w:rsidRPr="00954D98">
              <w:rPr>
                <w:noProof/>
                <w:sz w:val="22"/>
                <w:szCs w:val="22"/>
                <w:lang w:val="vi-VN"/>
              </w:rPr>
              <w:t>- Các Ban của HĐND tỉnh;</w:t>
            </w:r>
          </w:p>
          <w:p w14:paraId="6DD88EC3" w14:textId="77777777" w:rsidR="00072BEC" w:rsidRPr="00954D98" w:rsidRDefault="00072BEC" w:rsidP="00954D98">
            <w:pPr>
              <w:spacing w:before="20" w:line="276" w:lineRule="auto"/>
              <w:jc w:val="both"/>
              <w:rPr>
                <w:noProof/>
                <w:sz w:val="22"/>
                <w:szCs w:val="22"/>
                <w:lang w:val="vi-VN"/>
              </w:rPr>
            </w:pPr>
            <w:r w:rsidRPr="00954D98">
              <w:rPr>
                <w:noProof/>
                <w:sz w:val="22"/>
                <w:szCs w:val="22"/>
                <w:lang w:val="vi-VN"/>
              </w:rPr>
              <w:t>- Các đại biểu HĐND tỉnh;</w:t>
            </w:r>
          </w:p>
          <w:p w14:paraId="27E9BEEF" w14:textId="77777777" w:rsidR="00072BEC" w:rsidRPr="00954D98" w:rsidRDefault="00072BEC" w:rsidP="00954D98">
            <w:pPr>
              <w:spacing w:before="20" w:line="276" w:lineRule="auto"/>
              <w:jc w:val="both"/>
              <w:rPr>
                <w:noProof/>
                <w:sz w:val="22"/>
                <w:szCs w:val="22"/>
                <w:lang w:val="vi-VN"/>
              </w:rPr>
            </w:pPr>
            <w:r w:rsidRPr="00954D98">
              <w:rPr>
                <w:noProof/>
                <w:sz w:val="22"/>
                <w:szCs w:val="22"/>
                <w:lang w:val="vi-VN"/>
              </w:rPr>
              <w:t>- Các sở, ban, ngành, đoàn thể cấp tỉnh;</w:t>
            </w:r>
          </w:p>
          <w:p w14:paraId="4D4EA679" w14:textId="77777777" w:rsidR="00072BEC" w:rsidRPr="00954D98" w:rsidRDefault="00072BEC" w:rsidP="00954D98">
            <w:pPr>
              <w:spacing w:before="20" w:line="276" w:lineRule="auto"/>
              <w:jc w:val="both"/>
              <w:rPr>
                <w:noProof/>
                <w:sz w:val="22"/>
                <w:szCs w:val="22"/>
                <w:lang w:val="vi-VN"/>
              </w:rPr>
            </w:pPr>
            <w:r w:rsidRPr="00954D98">
              <w:rPr>
                <w:noProof/>
                <w:sz w:val="22"/>
                <w:szCs w:val="22"/>
                <w:lang w:val="vi-VN"/>
              </w:rPr>
              <w:t>- Văn phòng Đoàn ĐBQH và HĐND tỉnh;</w:t>
            </w:r>
          </w:p>
          <w:p w14:paraId="5D554D04" w14:textId="77777777" w:rsidR="00072BEC" w:rsidRPr="00954D98" w:rsidRDefault="00072BEC" w:rsidP="00954D98">
            <w:pPr>
              <w:spacing w:before="20" w:line="276" w:lineRule="auto"/>
              <w:jc w:val="both"/>
              <w:rPr>
                <w:noProof/>
                <w:sz w:val="22"/>
                <w:szCs w:val="22"/>
                <w:lang w:val="vi-VN"/>
              </w:rPr>
            </w:pPr>
            <w:r w:rsidRPr="00954D98">
              <w:rPr>
                <w:noProof/>
                <w:sz w:val="22"/>
                <w:szCs w:val="22"/>
                <w:lang w:val="vi-VN"/>
              </w:rPr>
              <w:t>- ĐU, TTHĐND, UBND các xã, phường;</w:t>
            </w:r>
          </w:p>
          <w:p w14:paraId="2C788339" w14:textId="77777777" w:rsidR="00072BEC" w:rsidRPr="00954D98" w:rsidRDefault="00072BEC" w:rsidP="00954D98">
            <w:pPr>
              <w:spacing w:before="20" w:line="276" w:lineRule="auto"/>
              <w:jc w:val="both"/>
              <w:rPr>
                <w:noProof/>
                <w:sz w:val="22"/>
                <w:szCs w:val="22"/>
                <w:lang w:val="vi-VN"/>
              </w:rPr>
            </w:pPr>
            <w:r w:rsidRPr="00954D98">
              <w:rPr>
                <w:noProof/>
                <w:sz w:val="22"/>
                <w:szCs w:val="22"/>
                <w:lang w:val="vi-VN"/>
              </w:rPr>
              <w:t>- Trung tâm Thông tin - Công báo;</w:t>
            </w:r>
          </w:p>
          <w:p w14:paraId="264EE359" w14:textId="77777777" w:rsidR="00072BEC" w:rsidRPr="00954D98" w:rsidRDefault="00072BEC" w:rsidP="00954D98">
            <w:pPr>
              <w:widowControl w:val="0"/>
              <w:spacing w:before="20" w:line="276" w:lineRule="auto"/>
              <w:rPr>
                <w:rFonts w:ascii="imes New Roman" w:hAnsi="imes New Roman"/>
                <w:b/>
                <w:i/>
                <w:iCs/>
                <w:noProof/>
                <w:lang w:val="vi-VN"/>
              </w:rPr>
            </w:pPr>
            <w:r w:rsidRPr="00954D98">
              <w:rPr>
                <w:noProof/>
                <w:sz w:val="22"/>
                <w:szCs w:val="22"/>
                <w:lang w:val="vi-VN"/>
              </w:rPr>
              <w:t>- Lưu:  VT, HĐ</w:t>
            </w:r>
            <w:r w:rsidRPr="00954D98">
              <w:rPr>
                <w:noProof/>
                <w:sz w:val="22"/>
                <w:szCs w:val="22"/>
                <w:vertAlign w:val="superscript"/>
                <w:lang w:val="vi-VN"/>
              </w:rPr>
              <w:t>4,11</w:t>
            </w:r>
          </w:p>
        </w:tc>
        <w:tc>
          <w:tcPr>
            <w:tcW w:w="4286" w:type="dxa"/>
          </w:tcPr>
          <w:p w14:paraId="3B74854E" w14:textId="77777777" w:rsidR="00072BEC" w:rsidRPr="00954D98" w:rsidRDefault="00072BEC" w:rsidP="00954D98">
            <w:pPr>
              <w:shd w:val="clear" w:color="auto" w:fill="FFFFFF"/>
              <w:spacing w:before="20" w:line="276" w:lineRule="auto"/>
              <w:jc w:val="center"/>
              <w:rPr>
                <w:b/>
                <w:bCs/>
                <w:noProof/>
                <w:sz w:val="28"/>
                <w:szCs w:val="28"/>
                <w:lang w:val="vi-VN"/>
              </w:rPr>
            </w:pPr>
            <w:r w:rsidRPr="00954D98">
              <w:rPr>
                <w:b/>
                <w:bCs/>
                <w:noProof/>
                <w:sz w:val="28"/>
                <w:szCs w:val="28"/>
                <w:lang w:val="vi-VN"/>
              </w:rPr>
              <w:t>CHỦ TỊCH</w:t>
            </w:r>
            <w:r w:rsidRPr="00954D98">
              <w:rPr>
                <w:b/>
                <w:bCs/>
                <w:noProof/>
                <w:sz w:val="28"/>
                <w:szCs w:val="28"/>
                <w:lang w:val="vi-VN"/>
              </w:rPr>
              <w:br/>
            </w:r>
            <w:r w:rsidRPr="00954D98">
              <w:rPr>
                <w:b/>
                <w:bCs/>
                <w:noProof/>
                <w:sz w:val="28"/>
                <w:szCs w:val="28"/>
                <w:lang w:val="vi-VN"/>
              </w:rPr>
              <w:br/>
            </w:r>
            <w:r w:rsidRPr="00954D98">
              <w:rPr>
                <w:b/>
                <w:bCs/>
                <w:noProof/>
                <w:sz w:val="28"/>
                <w:szCs w:val="28"/>
                <w:lang w:val="vi-VN"/>
              </w:rPr>
              <w:br/>
            </w:r>
          </w:p>
          <w:p w14:paraId="17BCB392" w14:textId="77777777" w:rsidR="0061459F" w:rsidRPr="00111EF5" w:rsidRDefault="0061459F" w:rsidP="00954D98">
            <w:pPr>
              <w:shd w:val="clear" w:color="auto" w:fill="FFFFFF"/>
              <w:spacing w:before="20" w:line="276" w:lineRule="auto"/>
              <w:jc w:val="center"/>
              <w:rPr>
                <w:noProof/>
                <w:sz w:val="36"/>
                <w:szCs w:val="36"/>
                <w:lang w:val="vi-VN"/>
              </w:rPr>
            </w:pPr>
          </w:p>
          <w:p w14:paraId="01574936" w14:textId="77777777" w:rsidR="00072BEC" w:rsidRPr="00954D98" w:rsidRDefault="00072BEC" w:rsidP="00954D98">
            <w:pPr>
              <w:widowControl w:val="0"/>
              <w:spacing w:before="20" w:line="276" w:lineRule="auto"/>
              <w:jc w:val="center"/>
              <w:rPr>
                <w:rFonts w:ascii="imes New Roman" w:hAnsi="imes New Roman"/>
                <w:b/>
                <w:bCs/>
                <w:noProof/>
                <w:lang w:val="vi-VN"/>
              </w:rPr>
            </w:pPr>
            <w:r w:rsidRPr="00954D98">
              <w:rPr>
                <w:b/>
                <w:noProof/>
                <w:sz w:val="28"/>
                <w:szCs w:val="28"/>
                <w:lang w:val="vi-VN"/>
              </w:rPr>
              <w:t>Bùi Đức Hinh</w:t>
            </w:r>
          </w:p>
        </w:tc>
      </w:tr>
    </w:tbl>
    <w:p w14:paraId="3DB912F1" w14:textId="77777777" w:rsidR="002B5121" w:rsidRPr="00954D98" w:rsidRDefault="002B5121" w:rsidP="00954D98">
      <w:pPr>
        <w:jc w:val="both"/>
        <w:rPr>
          <w:noProof/>
          <w:sz w:val="16"/>
          <w:szCs w:val="28"/>
          <w:lang w:val="vi-VN"/>
        </w:rPr>
      </w:pPr>
    </w:p>
    <w:sectPr w:rsidR="002B5121" w:rsidRPr="00954D98" w:rsidSect="002E4C92">
      <w:headerReference w:type="default" r:id="rId8"/>
      <w:footerReference w:type="even" r:id="rId9"/>
      <w:footerReference w:type="default" r:id="rId10"/>
      <w:pgSz w:w="11909" w:h="16834" w:code="9"/>
      <w:pgMar w:top="1134" w:right="1077"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DA42D" w14:textId="77777777" w:rsidR="008C4CD6" w:rsidRDefault="008C4CD6">
      <w:r>
        <w:separator/>
      </w:r>
    </w:p>
  </w:endnote>
  <w:endnote w:type="continuationSeparator" w:id="0">
    <w:p w14:paraId="382DFCEE" w14:textId="77777777" w:rsidR="008C4CD6" w:rsidRDefault="008C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70BF1" w14:textId="77777777" w:rsidR="00550878" w:rsidRDefault="00550878" w:rsidP="007334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81DAE5" w14:textId="77777777" w:rsidR="00550878" w:rsidRDefault="00550878" w:rsidP="007334F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10785" w14:textId="77777777" w:rsidR="00550878" w:rsidRPr="00755987" w:rsidRDefault="00550878" w:rsidP="007334F6">
    <w:pPr>
      <w:pStyle w:val="Footer"/>
      <w:ind w:right="360"/>
      <w:rPr>
        <w:lang w:val="nl-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E9063" w14:textId="77777777" w:rsidR="008C4CD6" w:rsidRDefault="008C4CD6">
      <w:r>
        <w:separator/>
      </w:r>
    </w:p>
  </w:footnote>
  <w:footnote w:type="continuationSeparator" w:id="0">
    <w:p w14:paraId="04AD8337" w14:textId="77777777" w:rsidR="008C4CD6" w:rsidRDefault="008C4C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A951E" w14:textId="56FBDB9C" w:rsidR="002D037A" w:rsidRPr="002D037A" w:rsidRDefault="002D037A" w:rsidP="002D037A">
    <w:pPr>
      <w:pStyle w:val="Header"/>
      <w:jc w:val="center"/>
      <w:rPr>
        <w:sz w:val="28"/>
        <w:szCs w:val="28"/>
      </w:rPr>
    </w:pPr>
    <w:r w:rsidRPr="002D037A">
      <w:rPr>
        <w:sz w:val="28"/>
        <w:szCs w:val="28"/>
      </w:rPr>
      <w:fldChar w:fldCharType="begin"/>
    </w:r>
    <w:r w:rsidRPr="002D037A">
      <w:rPr>
        <w:sz w:val="28"/>
        <w:szCs w:val="28"/>
      </w:rPr>
      <w:instrText xml:space="preserve"> PAGE   \* MERGEFORMAT </w:instrText>
    </w:r>
    <w:r w:rsidRPr="002D037A">
      <w:rPr>
        <w:sz w:val="28"/>
        <w:szCs w:val="28"/>
      </w:rPr>
      <w:fldChar w:fldCharType="separate"/>
    </w:r>
    <w:r w:rsidR="00ED43B6">
      <w:rPr>
        <w:noProof/>
        <w:sz w:val="28"/>
        <w:szCs w:val="28"/>
      </w:rPr>
      <w:t>4</w:t>
    </w:r>
    <w:r w:rsidRPr="002D037A">
      <w:rPr>
        <w:noProof/>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013BEA"/>
    <w:multiLevelType w:val="hybridMultilevel"/>
    <w:tmpl w:val="D922763C"/>
    <w:lvl w:ilvl="0" w:tplc="E8E083A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2F7406"/>
    <w:multiLevelType w:val="hybridMultilevel"/>
    <w:tmpl w:val="CFD24E44"/>
    <w:lvl w:ilvl="0" w:tplc="972C1C8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644163D2"/>
    <w:multiLevelType w:val="hybridMultilevel"/>
    <w:tmpl w:val="3774ABE6"/>
    <w:lvl w:ilvl="0" w:tplc="A87E528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F6"/>
    <w:rsid w:val="000079F5"/>
    <w:rsid w:val="000207D2"/>
    <w:rsid w:val="000240E3"/>
    <w:rsid w:val="000251F7"/>
    <w:rsid w:val="00026E52"/>
    <w:rsid w:val="00033197"/>
    <w:rsid w:val="00037250"/>
    <w:rsid w:val="00045D51"/>
    <w:rsid w:val="00047F65"/>
    <w:rsid w:val="00051F91"/>
    <w:rsid w:val="00052007"/>
    <w:rsid w:val="00054ADB"/>
    <w:rsid w:val="00060EE5"/>
    <w:rsid w:val="00066367"/>
    <w:rsid w:val="000716D6"/>
    <w:rsid w:val="00072BEC"/>
    <w:rsid w:val="00073814"/>
    <w:rsid w:val="00083DBD"/>
    <w:rsid w:val="00084105"/>
    <w:rsid w:val="00086B0C"/>
    <w:rsid w:val="00086DD8"/>
    <w:rsid w:val="0009707E"/>
    <w:rsid w:val="000A4B0C"/>
    <w:rsid w:val="000B51CF"/>
    <w:rsid w:val="000B64DB"/>
    <w:rsid w:val="000D72EE"/>
    <w:rsid w:val="000E0352"/>
    <w:rsid w:val="000E0980"/>
    <w:rsid w:val="000E17F8"/>
    <w:rsid w:val="000E729D"/>
    <w:rsid w:val="000F3778"/>
    <w:rsid w:val="000F611B"/>
    <w:rsid w:val="000F73D5"/>
    <w:rsid w:val="001041D1"/>
    <w:rsid w:val="00110CF4"/>
    <w:rsid w:val="00111EF5"/>
    <w:rsid w:val="00112D99"/>
    <w:rsid w:val="001239E4"/>
    <w:rsid w:val="00132D57"/>
    <w:rsid w:val="0013756B"/>
    <w:rsid w:val="001419BF"/>
    <w:rsid w:val="00144300"/>
    <w:rsid w:val="00144CD3"/>
    <w:rsid w:val="00146245"/>
    <w:rsid w:val="00147667"/>
    <w:rsid w:val="00147E66"/>
    <w:rsid w:val="00150063"/>
    <w:rsid w:val="0015460A"/>
    <w:rsid w:val="00161F1F"/>
    <w:rsid w:val="001623A7"/>
    <w:rsid w:val="00165F86"/>
    <w:rsid w:val="0017094C"/>
    <w:rsid w:val="0017141F"/>
    <w:rsid w:val="001737E0"/>
    <w:rsid w:val="00173C42"/>
    <w:rsid w:val="00177F82"/>
    <w:rsid w:val="001A57B0"/>
    <w:rsid w:val="001B280B"/>
    <w:rsid w:val="001C0310"/>
    <w:rsid w:val="001C49D0"/>
    <w:rsid w:val="001C61D3"/>
    <w:rsid w:val="001C7F60"/>
    <w:rsid w:val="001D1EF3"/>
    <w:rsid w:val="001D369E"/>
    <w:rsid w:val="001D62C3"/>
    <w:rsid w:val="001E3B05"/>
    <w:rsid w:val="001E42D9"/>
    <w:rsid w:val="001F0709"/>
    <w:rsid w:val="002210C1"/>
    <w:rsid w:val="0022315C"/>
    <w:rsid w:val="00224D14"/>
    <w:rsid w:val="00236F1C"/>
    <w:rsid w:val="0024133A"/>
    <w:rsid w:val="00243354"/>
    <w:rsid w:val="00244196"/>
    <w:rsid w:val="00247D8D"/>
    <w:rsid w:val="0025339D"/>
    <w:rsid w:val="002619C2"/>
    <w:rsid w:val="002641F1"/>
    <w:rsid w:val="00265D4D"/>
    <w:rsid w:val="00270249"/>
    <w:rsid w:val="002727BA"/>
    <w:rsid w:val="002855A4"/>
    <w:rsid w:val="00286326"/>
    <w:rsid w:val="002901F9"/>
    <w:rsid w:val="00290E48"/>
    <w:rsid w:val="0029362C"/>
    <w:rsid w:val="00293EE2"/>
    <w:rsid w:val="0029415E"/>
    <w:rsid w:val="002948CC"/>
    <w:rsid w:val="002A1604"/>
    <w:rsid w:val="002A3CA2"/>
    <w:rsid w:val="002B5121"/>
    <w:rsid w:val="002C2DC2"/>
    <w:rsid w:val="002C3289"/>
    <w:rsid w:val="002D037A"/>
    <w:rsid w:val="002D1F0E"/>
    <w:rsid w:val="002E108A"/>
    <w:rsid w:val="002E4C92"/>
    <w:rsid w:val="002F0DEE"/>
    <w:rsid w:val="002F20FA"/>
    <w:rsid w:val="002F6573"/>
    <w:rsid w:val="00301545"/>
    <w:rsid w:val="003028B3"/>
    <w:rsid w:val="00310241"/>
    <w:rsid w:val="003102D6"/>
    <w:rsid w:val="003110D6"/>
    <w:rsid w:val="00311FBC"/>
    <w:rsid w:val="00312250"/>
    <w:rsid w:val="00313819"/>
    <w:rsid w:val="00322096"/>
    <w:rsid w:val="003259BC"/>
    <w:rsid w:val="00326191"/>
    <w:rsid w:val="00353723"/>
    <w:rsid w:val="00354041"/>
    <w:rsid w:val="00357A93"/>
    <w:rsid w:val="00362624"/>
    <w:rsid w:val="0036652A"/>
    <w:rsid w:val="00370539"/>
    <w:rsid w:val="00371339"/>
    <w:rsid w:val="0037154C"/>
    <w:rsid w:val="0037479F"/>
    <w:rsid w:val="00375712"/>
    <w:rsid w:val="00382A0D"/>
    <w:rsid w:val="003867FE"/>
    <w:rsid w:val="0038722F"/>
    <w:rsid w:val="00390CC8"/>
    <w:rsid w:val="00395715"/>
    <w:rsid w:val="00397BE6"/>
    <w:rsid w:val="003A0902"/>
    <w:rsid w:val="003A7788"/>
    <w:rsid w:val="003B55C4"/>
    <w:rsid w:val="003B7B13"/>
    <w:rsid w:val="003C0153"/>
    <w:rsid w:val="003C6425"/>
    <w:rsid w:val="003E13BE"/>
    <w:rsid w:val="003E2583"/>
    <w:rsid w:val="003E558E"/>
    <w:rsid w:val="003F3E68"/>
    <w:rsid w:val="00401496"/>
    <w:rsid w:val="00402F20"/>
    <w:rsid w:val="00411922"/>
    <w:rsid w:val="00420A03"/>
    <w:rsid w:val="004345F4"/>
    <w:rsid w:val="00442556"/>
    <w:rsid w:val="0044363F"/>
    <w:rsid w:val="00445E1E"/>
    <w:rsid w:val="00450689"/>
    <w:rsid w:val="00460F22"/>
    <w:rsid w:val="004615D3"/>
    <w:rsid w:val="00461C82"/>
    <w:rsid w:val="00464D04"/>
    <w:rsid w:val="004710C0"/>
    <w:rsid w:val="00475D75"/>
    <w:rsid w:val="004838A0"/>
    <w:rsid w:val="00495621"/>
    <w:rsid w:val="004B0FF3"/>
    <w:rsid w:val="004B2255"/>
    <w:rsid w:val="004B327C"/>
    <w:rsid w:val="004C2DAC"/>
    <w:rsid w:val="004C33B5"/>
    <w:rsid w:val="004D571B"/>
    <w:rsid w:val="004D5EC2"/>
    <w:rsid w:val="004E0CE4"/>
    <w:rsid w:val="004E37A4"/>
    <w:rsid w:val="004E4C2D"/>
    <w:rsid w:val="004F4364"/>
    <w:rsid w:val="004F6522"/>
    <w:rsid w:val="005001A3"/>
    <w:rsid w:val="00500D97"/>
    <w:rsid w:val="005041B6"/>
    <w:rsid w:val="00505060"/>
    <w:rsid w:val="00505180"/>
    <w:rsid w:val="00505C97"/>
    <w:rsid w:val="00505DCF"/>
    <w:rsid w:val="005109F7"/>
    <w:rsid w:val="00511D5E"/>
    <w:rsid w:val="00512EB0"/>
    <w:rsid w:val="00521F8E"/>
    <w:rsid w:val="0052235C"/>
    <w:rsid w:val="00524479"/>
    <w:rsid w:val="005303BF"/>
    <w:rsid w:val="005351C4"/>
    <w:rsid w:val="00536EDD"/>
    <w:rsid w:val="00537432"/>
    <w:rsid w:val="00541367"/>
    <w:rsid w:val="0054590D"/>
    <w:rsid w:val="00550878"/>
    <w:rsid w:val="0055097E"/>
    <w:rsid w:val="00552089"/>
    <w:rsid w:val="0055514C"/>
    <w:rsid w:val="00563C5D"/>
    <w:rsid w:val="005650BB"/>
    <w:rsid w:val="00567078"/>
    <w:rsid w:val="00573C2E"/>
    <w:rsid w:val="00573CDE"/>
    <w:rsid w:val="00580240"/>
    <w:rsid w:val="00587360"/>
    <w:rsid w:val="00594109"/>
    <w:rsid w:val="005A19E1"/>
    <w:rsid w:val="005A4462"/>
    <w:rsid w:val="005A503A"/>
    <w:rsid w:val="005B54F8"/>
    <w:rsid w:val="005C5071"/>
    <w:rsid w:val="005C6B0C"/>
    <w:rsid w:val="005D3977"/>
    <w:rsid w:val="005E2ED7"/>
    <w:rsid w:val="005E3CBE"/>
    <w:rsid w:val="005E5E93"/>
    <w:rsid w:val="005E5FA0"/>
    <w:rsid w:val="005F7859"/>
    <w:rsid w:val="00601EAD"/>
    <w:rsid w:val="0060637F"/>
    <w:rsid w:val="006109D3"/>
    <w:rsid w:val="006112F6"/>
    <w:rsid w:val="00611F69"/>
    <w:rsid w:val="00613DAB"/>
    <w:rsid w:val="0061459F"/>
    <w:rsid w:val="00614665"/>
    <w:rsid w:val="0061548F"/>
    <w:rsid w:val="00616C1C"/>
    <w:rsid w:val="006248ED"/>
    <w:rsid w:val="00625192"/>
    <w:rsid w:val="00625908"/>
    <w:rsid w:val="00631C1F"/>
    <w:rsid w:val="00634EDC"/>
    <w:rsid w:val="00636AD5"/>
    <w:rsid w:val="00641DE8"/>
    <w:rsid w:val="006439AC"/>
    <w:rsid w:val="006453DB"/>
    <w:rsid w:val="00646C4F"/>
    <w:rsid w:val="0065250A"/>
    <w:rsid w:val="00654456"/>
    <w:rsid w:val="006660D4"/>
    <w:rsid w:val="00667C5A"/>
    <w:rsid w:val="00673523"/>
    <w:rsid w:val="00681BDC"/>
    <w:rsid w:val="0068297C"/>
    <w:rsid w:val="00683308"/>
    <w:rsid w:val="00690F7C"/>
    <w:rsid w:val="00694755"/>
    <w:rsid w:val="006A0463"/>
    <w:rsid w:val="006A1C1F"/>
    <w:rsid w:val="006A35BD"/>
    <w:rsid w:val="006B04AE"/>
    <w:rsid w:val="006B2182"/>
    <w:rsid w:val="006B56B6"/>
    <w:rsid w:val="006B5F52"/>
    <w:rsid w:val="006C63DE"/>
    <w:rsid w:val="006D20ED"/>
    <w:rsid w:val="006D614F"/>
    <w:rsid w:val="006E14D6"/>
    <w:rsid w:val="006E6D64"/>
    <w:rsid w:val="006F03CB"/>
    <w:rsid w:val="006F1AA5"/>
    <w:rsid w:val="006F7046"/>
    <w:rsid w:val="00702192"/>
    <w:rsid w:val="007052E1"/>
    <w:rsid w:val="00710E89"/>
    <w:rsid w:val="007121B3"/>
    <w:rsid w:val="00712849"/>
    <w:rsid w:val="00713B42"/>
    <w:rsid w:val="00716297"/>
    <w:rsid w:val="0072057D"/>
    <w:rsid w:val="0072081E"/>
    <w:rsid w:val="00724FB1"/>
    <w:rsid w:val="00732D7C"/>
    <w:rsid w:val="007334F6"/>
    <w:rsid w:val="00734A04"/>
    <w:rsid w:val="007378CD"/>
    <w:rsid w:val="00744589"/>
    <w:rsid w:val="007507B2"/>
    <w:rsid w:val="007513AB"/>
    <w:rsid w:val="00751B60"/>
    <w:rsid w:val="00751C4E"/>
    <w:rsid w:val="007541FF"/>
    <w:rsid w:val="00757E26"/>
    <w:rsid w:val="0076246F"/>
    <w:rsid w:val="00773C83"/>
    <w:rsid w:val="00780690"/>
    <w:rsid w:val="00786155"/>
    <w:rsid w:val="00790C54"/>
    <w:rsid w:val="00793AA8"/>
    <w:rsid w:val="007A794F"/>
    <w:rsid w:val="007B18C4"/>
    <w:rsid w:val="007B6887"/>
    <w:rsid w:val="007C0671"/>
    <w:rsid w:val="007C4BF4"/>
    <w:rsid w:val="007C5F41"/>
    <w:rsid w:val="007D4C9C"/>
    <w:rsid w:val="007D6D1B"/>
    <w:rsid w:val="007E19FF"/>
    <w:rsid w:val="007E1FE7"/>
    <w:rsid w:val="007E3433"/>
    <w:rsid w:val="007E67CC"/>
    <w:rsid w:val="007F00F0"/>
    <w:rsid w:val="008053C1"/>
    <w:rsid w:val="008056AB"/>
    <w:rsid w:val="00806F6A"/>
    <w:rsid w:val="00807C17"/>
    <w:rsid w:val="00820100"/>
    <w:rsid w:val="00820B78"/>
    <w:rsid w:val="00823735"/>
    <w:rsid w:val="008241CC"/>
    <w:rsid w:val="0082513C"/>
    <w:rsid w:val="008323C2"/>
    <w:rsid w:val="00832738"/>
    <w:rsid w:val="008351BA"/>
    <w:rsid w:val="00841FE3"/>
    <w:rsid w:val="008431F7"/>
    <w:rsid w:val="008458CD"/>
    <w:rsid w:val="00846DE7"/>
    <w:rsid w:val="008536E4"/>
    <w:rsid w:val="00853E33"/>
    <w:rsid w:val="00856E5E"/>
    <w:rsid w:val="008624F6"/>
    <w:rsid w:val="008728F9"/>
    <w:rsid w:val="00872F6A"/>
    <w:rsid w:val="00873B2F"/>
    <w:rsid w:val="00877419"/>
    <w:rsid w:val="0088234E"/>
    <w:rsid w:val="00882F3F"/>
    <w:rsid w:val="008863F2"/>
    <w:rsid w:val="008868C2"/>
    <w:rsid w:val="00891127"/>
    <w:rsid w:val="00891B09"/>
    <w:rsid w:val="008920A5"/>
    <w:rsid w:val="00896844"/>
    <w:rsid w:val="00896CFE"/>
    <w:rsid w:val="008A41A7"/>
    <w:rsid w:val="008B2830"/>
    <w:rsid w:val="008C4C17"/>
    <w:rsid w:val="008C4CD6"/>
    <w:rsid w:val="008C5029"/>
    <w:rsid w:val="008D20EC"/>
    <w:rsid w:val="008E3FEC"/>
    <w:rsid w:val="008E403B"/>
    <w:rsid w:val="008E79BD"/>
    <w:rsid w:val="008F0A6E"/>
    <w:rsid w:val="008F7F39"/>
    <w:rsid w:val="0090280E"/>
    <w:rsid w:val="0090306E"/>
    <w:rsid w:val="00904317"/>
    <w:rsid w:val="0090772C"/>
    <w:rsid w:val="00912276"/>
    <w:rsid w:val="00915CEB"/>
    <w:rsid w:val="009212A7"/>
    <w:rsid w:val="00923660"/>
    <w:rsid w:val="0093013D"/>
    <w:rsid w:val="00930B18"/>
    <w:rsid w:val="00934856"/>
    <w:rsid w:val="00947611"/>
    <w:rsid w:val="00954D98"/>
    <w:rsid w:val="009557AE"/>
    <w:rsid w:val="009614B9"/>
    <w:rsid w:val="009708D0"/>
    <w:rsid w:val="00972B12"/>
    <w:rsid w:val="00983BFA"/>
    <w:rsid w:val="00985735"/>
    <w:rsid w:val="00985D06"/>
    <w:rsid w:val="0099028C"/>
    <w:rsid w:val="00997149"/>
    <w:rsid w:val="009A34DB"/>
    <w:rsid w:val="009A3DE3"/>
    <w:rsid w:val="009A4DB3"/>
    <w:rsid w:val="009B0AA4"/>
    <w:rsid w:val="009B19E5"/>
    <w:rsid w:val="009B32FC"/>
    <w:rsid w:val="009C0349"/>
    <w:rsid w:val="009C0C2F"/>
    <w:rsid w:val="009C2FD8"/>
    <w:rsid w:val="009C4D6D"/>
    <w:rsid w:val="009D0CE7"/>
    <w:rsid w:val="009D43EA"/>
    <w:rsid w:val="009D6D6B"/>
    <w:rsid w:val="009E1656"/>
    <w:rsid w:val="009E62BB"/>
    <w:rsid w:val="00A0628A"/>
    <w:rsid w:val="00A062BF"/>
    <w:rsid w:val="00A114C6"/>
    <w:rsid w:val="00A11801"/>
    <w:rsid w:val="00A130D0"/>
    <w:rsid w:val="00A17C3D"/>
    <w:rsid w:val="00A210A0"/>
    <w:rsid w:val="00A24CEF"/>
    <w:rsid w:val="00A25C81"/>
    <w:rsid w:val="00A3282A"/>
    <w:rsid w:val="00A3730D"/>
    <w:rsid w:val="00A37F2A"/>
    <w:rsid w:val="00A43DCE"/>
    <w:rsid w:val="00A467E6"/>
    <w:rsid w:val="00A47227"/>
    <w:rsid w:val="00A47B01"/>
    <w:rsid w:val="00A66C02"/>
    <w:rsid w:val="00A855A9"/>
    <w:rsid w:val="00A8728E"/>
    <w:rsid w:val="00A87DAA"/>
    <w:rsid w:val="00A94FD2"/>
    <w:rsid w:val="00AA358D"/>
    <w:rsid w:val="00AA447F"/>
    <w:rsid w:val="00AB0B85"/>
    <w:rsid w:val="00AB141E"/>
    <w:rsid w:val="00AB71D6"/>
    <w:rsid w:val="00AB7F13"/>
    <w:rsid w:val="00AC0AC4"/>
    <w:rsid w:val="00AC1D6E"/>
    <w:rsid w:val="00AD23CA"/>
    <w:rsid w:val="00AE00E2"/>
    <w:rsid w:val="00AE0F20"/>
    <w:rsid w:val="00AE340F"/>
    <w:rsid w:val="00AF2FAE"/>
    <w:rsid w:val="00B070D7"/>
    <w:rsid w:val="00B10266"/>
    <w:rsid w:val="00B11545"/>
    <w:rsid w:val="00B1314C"/>
    <w:rsid w:val="00B21D38"/>
    <w:rsid w:val="00B221D7"/>
    <w:rsid w:val="00B25EF7"/>
    <w:rsid w:val="00B35892"/>
    <w:rsid w:val="00B40992"/>
    <w:rsid w:val="00B4207A"/>
    <w:rsid w:val="00B455B9"/>
    <w:rsid w:val="00B50C35"/>
    <w:rsid w:val="00B53281"/>
    <w:rsid w:val="00B55A67"/>
    <w:rsid w:val="00B5783E"/>
    <w:rsid w:val="00B608CC"/>
    <w:rsid w:val="00B626C6"/>
    <w:rsid w:val="00B635F4"/>
    <w:rsid w:val="00B66C8C"/>
    <w:rsid w:val="00B72B72"/>
    <w:rsid w:val="00B76674"/>
    <w:rsid w:val="00B771A1"/>
    <w:rsid w:val="00B77B17"/>
    <w:rsid w:val="00B831CA"/>
    <w:rsid w:val="00B864A7"/>
    <w:rsid w:val="00B87C14"/>
    <w:rsid w:val="00B87C86"/>
    <w:rsid w:val="00B94206"/>
    <w:rsid w:val="00B97276"/>
    <w:rsid w:val="00BA25B9"/>
    <w:rsid w:val="00BA3086"/>
    <w:rsid w:val="00BA3395"/>
    <w:rsid w:val="00BB359E"/>
    <w:rsid w:val="00BB7374"/>
    <w:rsid w:val="00BC033E"/>
    <w:rsid w:val="00BC2EF4"/>
    <w:rsid w:val="00BC3EE6"/>
    <w:rsid w:val="00BC6C6F"/>
    <w:rsid w:val="00BD392D"/>
    <w:rsid w:val="00BD7802"/>
    <w:rsid w:val="00BE0EBF"/>
    <w:rsid w:val="00BE3022"/>
    <w:rsid w:val="00BF2427"/>
    <w:rsid w:val="00C02368"/>
    <w:rsid w:val="00C03120"/>
    <w:rsid w:val="00C03AEE"/>
    <w:rsid w:val="00C04338"/>
    <w:rsid w:val="00C07D0C"/>
    <w:rsid w:val="00C11926"/>
    <w:rsid w:val="00C12846"/>
    <w:rsid w:val="00C134E2"/>
    <w:rsid w:val="00C162ED"/>
    <w:rsid w:val="00C22FC8"/>
    <w:rsid w:val="00C269BF"/>
    <w:rsid w:val="00C27D81"/>
    <w:rsid w:val="00C4068B"/>
    <w:rsid w:val="00C416C7"/>
    <w:rsid w:val="00C4299B"/>
    <w:rsid w:val="00C4387A"/>
    <w:rsid w:val="00C44C82"/>
    <w:rsid w:val="00C453FB"/>
    <w:rsid w:val="00C46000"/>
    <w:rsid w:val="00C55F6F"/>
    <w:rsid w:val="00C5728A"/>
    <w:rsid w:val="00C602E8"/>
    <w:rsid w:val="00C6065B"/>
    <w:rsid w:val="00C65729"/>
    <w:rsid w:val="00C72E39"/>
    <w:rsid w:val="00C7658D"/>
    <w:rsid w:val="00C77C56"/>
    <w:rsid w:val="00C81BF9"/>
    <w:rsid w:val="00C83552"/>
    <w:rsid w:val="00C858CE"/>
    <w:rsid w:val="00C86A6B"/>
    <w:rsid w:val="00C87565"/>
    <w:rsid w:val="00C9532C"/>
    <w:rsid w:val="00CA28BD"/>
    <w:rsid w:val="00CA360C"/>
    <w:rsid w:val="00CB01E3"/>
    <w:rsid w:val="00CB1BFC"/>
    <w:rsid w:val="00CB734C"/>
    <w:rsid w:val="00CC315F"/>
    <w:rsid w:val="00CC6C1E"/>
    <w:rsid w:val="00CD1A48"/>
    <w:rsid w:val="00CD20CC"/>
    <w:rsid w:val="00CD4236"/>
    <w:rsid w:val="00CE0EE1"/>
    <w:rsid w:val="00CE2E83"/>
    <w:rsid w:val="00CE6132"/>
    <w:rsid w:val="00CF1F62"/>
    <w:rsid w:val="00CF3D0C"/>
    <w:rsid w:val="00CF5920"/>
    <w:rsid w:val="00CF7C97"/>
    <w:rsid w:val="00D01C07"/>
    <w:rsid w:val="00D11EDB"/>
    <w:rsid w:val="00D16326"/>
    <w:rsid w:val="00D209D4"/>
    <w:rsid w:val="00D22D60"/>
    <w:rsid w:val="00D270A6"/>
    <w:rsid w:val="00D305AC"/>
    <w:rsid w:val="00D325B6"/>
    <w:rsid w:val="00D35571"/>
    <w:rsid w:val="00D37C6B"/>
    <w:rsid w:val="00D37F52"/>
    <w:rsid w:val="00D409D3"/>
    <w:rsid w:val="00D45409"/>
    <w:rsid w:val="00D50BEF"/>
    <w:rsid w:val="00D518B1"/>
    <w:rsid w:val="00D53669"/>
    <w:rsid w:val="00D54E23"/>
    <w:rsid w:val="00D60D10"/>
    <w:rsid w:val="00D627D9"/>
    <w:rsid w:val="00D6345E"/>
    <w:rsid w:val="00D6445F"/>
    <w:rsid w:val="00D654F2"/>
    <w:rsid w:val="00D75530"/>
    <w:rsid w:val="00D877C8"/>
    <w:rsid w:val="00D9736C"/>
    <w:rsid w:val="00DB0184"/>
    <w:rsid w:val="00DB6040"/>
    <w:rsid w:val="00DC08E5"/>
    <w:rsid w:val="00DC2017"/>
    <w:rsid w:val="00DC23ED"/>
    <w:rsid w:val="00DC3431"/>
    <w:rsid w:val="00DC4077"/>
    <w:rsid w:val="00DC5BCA"/>
    <w:rsid w:val="00DC7360"/>
    <w:rsid w:val="00DC7EE3"/>
    <w:rsid w:val="00DD12E7"/>
    <w:rsid w:val="00DD24DE"/>
    <w:rsid w:val="00DD5853"/>
    <w:rsid w:val="00DD6C7B"/>
    <w:rsid w:val="00DD6D2B"/>
    <w:rsid w:val="00DE035B"/>
    <w:rsid w:val="00DE33BE"/>
    <w:rsid w:val="00DE3901"/>
    <w:rsid w:val="00DE755F"/>
    <w:rsid w:val="00DF0593"/>
    <w:rsid w:val="00DF1B90"/>
    <w:rsid w:val="00DF4DF3"/>
    <w:rsid w:val="00DF5B21"/>
    <w:rsid w:val="00E058B6"/>
    <w:rsid w:val="00E10117"/>
    <w:rsid w:val="00E12FC3"/>
    <w:rsid w:val="00E171F1"/>
    <w:rsid w:val="00E1753B"/>
    <w:rsid w:val="00E23CD3"/>
    <w:rsid w:val="00E27BE7"/>
    <w:rsid w:val="00E31919"/>
    <w:rsid w:val="00E3496A"/>
    <w:rsid w:val="00E3660E"/>
    <w:rsid w:val="00E41585"/>
    <w:rsid w:val="00E427AD"/>
    <w:rsid w:val="00E42BFC"/>
    <w:rsid w:val="00E43FD6"/>
    <w:rsid w:val="00E44562"/>
    <w:rsid w:val="00E47635"/>
    <w:rsid w:val="00E65704"/>
    <w:rsid w:val="00E6663F"/>
    <w:rsid w:val="00E71C92"/>
    <w:rsid w:val="00E74107"/>
    <w:rsid w:val="00E76030"/>
    <w:rsid w:val="00E80FB9"/>
    <w:rsid w:val="00EA14A7"/>
    <w:rsid w:val="00EA2EE2"/>
    <w:rsid w:val="00EA49CA"/>
    <w:rsid w:val="00EB2B18"/>
    <w:rsid w:val="00EC267F"/>
    <w:rsid w:val="00EC3D78"/>
    <w:rsid w:val="00EC69B1"/>
    <w:rsid w:val="00ED43B6"/>
    <w:rsid w:val="00EF0C16"/>
    <w:rsid w:val="00EF466A"/>
    <w:rsid w:val="00F052AE"/>
    <w:rsid w:val="00F101A5"/>
    <w:rsid w:val="00F12B79"/>
    <w:rsid w:val="00F16167"/>
    <w:rsid w:val="00F164A6"/>
    <w:rsid w:val="00F21FB1"/>
    <w:rsid w:val="00F2791F"/>
    <w:rsid w:val="00F30667"/>
    <w:rsid w:val="00F36302"/>
    <w:rsid w:val="00F37983"/>
    <w:rsid w:val="00F421CE"/>
    <w:rsid w:val="00F429BC"/>
    <w:rsid w:val="00F55887"/>
    <w:rsid w:val="00F57508"/>
    <w:rsid w:val="00F6144B"/>
    <w:rsid w:val="00F625DC"/>
    <w:rsid w:val="00F62ACB"/>
    <w:rsid w:val="00F660CD"/>
    <w:rsid w:val="00F67AAB"/>
    <w:rsid w:val="00F70752"/>
    <w:rsid w:val="00F73CD0"/>
    <w:rsid w:val="00F82630"/>
    <w:rsid w:val="00F906A2"/>
    <w:rsid w:val="00F90C68"/>
    <w:rsid w:val="00F933F3"/>
    <w:rsid w:val="00F943DD"/>
    <w:rsid w:val="00F9767F"/>
    <w:rsid w:val="00FA23FC"/>
    <w:rsid w:val="00FA3529"/>
    <w:rsid w:val="00FB0F60"/>
    <w:rsid w:val="00FB2845"/>
    <w:rsid w:val="00FB6480"/>
    <w:rsid w:val="00FD0762"/>
    <w:rsid w:val="00FD40E4"/>
    <w:rsid w:val="00FD6D21"/>
    <w:rsid w:val="00FE100A"/>
    <w:rsid w:val="00FE14C4"/>
    <w:rsid w:val="00FE24F0"/>
    <w:rsid w:val="00FE532F"/>
    <w:rsid w:val="00FE5DF1"/>
    <w:rsid w:val="00FE5F77"/>
    <w:rsid w:val="00FF2A51"/>
    <w:rsid w:val="00FF3CF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3683F7"/>
  <w15:docId w15:val="{2D5FEB40-A05C-44E3-B973-3EA37387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4F6"/>
    <w:rPr>
      <w:lang w:val="en-US" w:eastAsia="en-US"/>
    </w:rPr>
  </w:style>
  <w:style w:type="paragraph" w:styleId="Heading1">
    <w:name w:val="heading 1"/>
    <w:basedOn w:val="Normal"/>
    <w:next w:val="Normal"/>
    <w:qFormat/>
    <w:rsid w:val="007334F6"/>
    <w:pPr>
      <w:keepNext/>
      <w:jc w:val="center"/>
      <w:outlineLvl w:val="0"/>
    </w:pPr>
    <w:rPr>
      <w:rFonts w:ascii=".VnTimeH" w:hAnsi=".VnTimeH"/>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334F6"/>
    <w:pPr>
      <w:tabs>
        <w:tab w:val="center" w:pos="4320"/>
        <w:tab w:val="right" w:pos="8640"/>
      </w:tabs>
    </w:pPr>
  </w:style>
  <w:style w:type="character" w:styleId="PageNumber">
    <w:name w:val="page number"/>
    <w:basedOn w:val="DefaultParagraphFont"/>
    <w:rsid w:val="007334F6"/>
  </w:style>
  <w:style w:type="table" w:styleId="TableGrid">
    <w:name w:val="Table Grid"/>
    <w:basedOn w:val="TableNormal"/>
    <w:rsid w:val="00221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E1656"/>
    <w:rPr>
      <w:rFonts w:ascii=".VnTime" w:hAnsi=".VnTime"/>
      <w:sz w:val="28"/>
      <w:szCs w:val="28"/>
      <w:lang w:eastAsia="zh-CN"/>
    </w:rPr>
  </w:style>
  <w:style w:type="character" w:customStyle="1" w:styleId="BodyTextChar">
    <w:name w:val="Body Text Char"/>
    <w:link w:val="BodyText"/>
    <w:rsid w:val="009E1656"/>
    <w:rPr>
      <w:rFonts w:ascii=".VnTime" w:hAnsi=".VnTime"/>
      <w:sz w:val="28"/>
      <w:szCs w:val="28"/>
      <w:lang w:eastAsia="zh-CN"/>
    </w:rPr>
  </w:style>
  <w:style w:type="character" w:styleId="Hyperlink">
    <w:name w:val="Hyperlink"/>
    <w:rsid w:val="00F73CD0"/>
    <w:rPr>
      <w:color w:val="0000FF"/>
      <w:u w:val="single"/>
    </w:rPr>
  </w:style>
  <w:style w:type="paragraph" w:styleId="Header">
    <w:name w:val="header"/>
    <w:basedOn w:val="Normal"/>
    <w:link w:val="HeaderChar"/>
    <w:uiPriority w:val="99"/>
    <w:rsid w:val="002D037A"/>
    <w:pPr>
      <w:tabs>
        <w:tab w:val="center" w:pos="4680"/>
        <w:tab w:val="right" w:pos="9360"/>
      </w:tabs>
    </w:pPr>
  </w:style>
  <w:style w:type="character" w:customStyle="1" w:styleId="HeaderChar">
    <w:name w:val="Header Char"/>
    <w:basedOn w:val="DefaultParagraphFont"/>
    <w:link w:val="Header"/>
    <w:uiPriority w:val="99"/>
    <w:rsid w:val="002D037A"/>
  </w:style>
  <w:style w:type="paragraph" w:styleId="NormalWeb">
    <w:name w:val="Normal (Web)"/>
    <w:aliases w:val=" Char Char Char,Char Char Char,Char Char1,Char Char5, Char Char1,Char Char,Обычный (веб)1,Обычный (веб) Знак,Обычный (веб) Знак1,Обычный (веб) Знак Знак,webb,Char Char Char Char Char Char Char Char Char Char,표준 (웹)"/>
    <w:basedOn w:val="Normal"/>
    <w:link w:val="NormalWebChar"/>
    <w:uiPriority w:val="99"/>
    <w:qFormat/>
    <w:rsid w:val="00505DCF"/>
    <w:pPr>
      <w:spacing w:line="312" w:lineRule="auto"/>
    </w:pPr>
    <w:rPr>
      <w:sz w:val="28"/>
    </w:rPr>
  </w:style>
  <w:style w:type="character" w:customStyle="1" w:styleId="NormalWebChar">
    <w:name w:val="Normal (Web) Char"/>
    <w:aliases w:val=" Char Char Char Char1,Char Char Char Char1,Char Char1 Char1,Char Char5 Char1, Char Char1 Char1,Char Char Char2,Обычный (веб)1 Char1,Обычный (веб) Знак Char1,Обычный (веб) Знак1 Char1,Обычный (веб) Знак Знак Char1,webb Char,표준 (웹) Char"/>
    <w:link w:val="NormalWeb"/>
    <w:uiPriority w:val="99"/>
    <w:rsid w:val="00505DCF"/>
    <w:rPr>
      <w:sz w:val="28"/>
    </w:rPr>
  </w:style>
  <w:style w:type="paragraph" w:styleId="BodyText2">
    <w:name w:val="Body Text 2"/>
    <w:basedOn w:val="Normal"/>
    <w:link w:val="BodyText2Char"/>
    <w:rsid w:val="00611F69"/>
    <w:pPr>
      <w:spacing w:after="120" w:line="480" w:lineRule="auto"/>
    </w:pPr>
  </w:style>
  <w:style w:type="character" w:customStyle="1" w:styleId="BodyText2Char">
    <w:name w:val="Body Text 2 Char"/>
    <w:basedOn w:val="DefaultParagraphFont"/>
    <w:link w:val="BodyText2"/>
    <w:rsid w:val="00611F69"/>
    <w:rPr>
      <w:lang w:val="en-US" w:eastAsia="en-US"/>
    </w:rPr>
  </w:style>
  <w:style w:type="character" w:styleId="Strong">
    <w:name w:val="Strong"/>
    <w:qFormat/>
    <w:rsid w:val="008323C2"/>
    <w:rPr>
      <w:b/>
      <w:bCs/>
    </w:rPr>
  </w:style>
  <w:style w:type="paragraph" w:styleId="BalloonText">
    <w:name w:val="Balloon Text"/>
    <w:basedOn w:val="Normal"/>
    <w:link w:val="BalloonTextChar"/>
    <w:rsid w:val="006B2182"/>
    <w:rPr>
      <w:rFonts w:ascii="Tahoma" w:hAnsi="Tahoma" w:cs="Tahoma"/>
      <w:sz w:val="16"/>
      <w:szCs w:val="16"/>
    </w:rPr>
  </w:style>
  <w:style w:type="character" w:customStyle="1" w:styleId="BalloonTextChar">
    <w:name w:val="Balloon Text Char"/>
    <w:basedOn w:val="DefaultParagraphFont"/>
    <w:link w:val="BalloonText"/>
    <w:rsid w:val="006B2182"/>
    <w:rPr>
      <w:rFonts w:ascii="Tahoma" w:hAnsi="Tahoma" w:cs="Tahoma"/>
      <w:sz w:val="16"/>
      <w:szCs w:val="16"/>
      <w:lang w:val="en-US" w:eastAsia="en-US"/>
    </w:rPr>
  </w:style>
  <w:style w:type="paragraph" w:styleId="BodyTextIndent">
    <w:name w:val="Body Text Indent"/>
    <w:basedOn w:val="Normal"/>
    <w:link w:val="BodyTextIndentChar"/>
    <w:rsid w:val="00820B78"/>
    <w:pPr>
      <w:spacing w:after="120"/>
      <w:ind w:left="360"/>
    </w:pPr>
  </w:style>
  <w:style w:type="character" w:customStyle="1" w:styleId="BodyTextIndentChar">
    <w:name w:val="Body Text Indent Char"/>
    <w:basedOn w:val="DefaultParagraphFont"/>
    <w:link w:val="BodyTextIndent"/>
    <w:rsid w:val="00820B78"/>
    <w:rPr>
      <w:lang w:val="en-US" w:eastAsia="en-US"/>
    </w:rPr>
  </w:style>
  <w:style w:type="character" w:customStyle="1" w:styleId="UnresolvedMention1">
    <w:name w:val="Unresolved Mention1"/>
    <w:basedOn w:val="DefaultParagraphFont"/>
    <w:uiPriority w:val="99"/>
    <w:semiHidden/>
    <w:unhideWhenUsed/>
    <w:rsid w:val="00846DE7"/>
    <w:rPr>
      <w:color w:val="605E5C"/>
      <w:shd w:val="clear" w:color="auto" w:fill="E1DFDD"/>
    </w:rPr>
  </w:style>
  <w:style w:type="paragraph" w:styleId="ListParagraph">
    <w:name w:val="List Paragraph"/>
    <w:basedOn w:val="Normal"/>
    <w:uiPriority w:val="34"/>
    <w:qFormat/>
    <w:rsid w:val="006A35BD"/>
    <w:pPr>
      <w:ind w:left="720"/>
      <w:contextualSpacing/>
    </w:pPr>
  </w:style>
  <w:style w:type="character" w:customStyle="1" w:styleId="NormalWebChar1">
    <w:name w:val="Normal (Web) Char1"/>
    <w:aliases w:val="Normal (Web) Char Char, Char Char Char Char,Char Char Char Char,Char Char1 Char,Char Char5 Char, Char Char1 Char,Char Char Char1,Обычный (веб)1 Char,Обычный (веб) Знак Char,Обычный (веб) Знак1 Char,Обычный (веб) Знак Знак Char"/>
    <w:uiPriority w:val="99"/>
    <w:rsid w:val="00072BEC"/>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450101">
      <w:bodyDiv w:val="1"/>
      <w:marLeft w:val="0"/>
      <w:marRight w:val="0"/>
      <w:marTop w:val="0"/>
      <w:marBottom w:val="0"/>
      <w:divBdr>
        <w:top w:val="none" w:sz="0" w:space="0" w:color="auto"/>
        <w:left w:val="none" w:sz="0" w:space="0" w:color="auto"/>
        <w:bottom w:val="none" w:sz="0" w:space="0" w:color="auto"/>
        <w:right w:val="none" w:sz="0" w:space="0" w:color="auto"/>
      </w:divBdr>
    </w:div>
    <w:div w:id="613899819">
      <w:bodyDiv w:val="1"/>
      <w:marLeft w:val="0"/>
      <w:marRight w:val="0"/>
      <w:marTop w:val="0"/>
      <w:marBottom w:val="0"/>
      <w:divBdr>
        <w:top w:val="none" w:sz="0" w:space="0" w:color="auto"/>
        <w:left w:val="none" w:sz="0" w:space="0" w:color="auto"/>
        <w:bottom w:val="none" w:sz="0" w:space="0" w:color="auto"/>
        <w:right w:val="none" w:sz="0" w:space="0" w:color="auto"/>
      </w:divBdr>
    </w:div>
    <w:div w:id="657998233">
      <w:bodyDiv w:val="1"/>
      <w:marLeft w:val="0"/>
      <w:marRight w:val="0"/>
      <w:marTop w:val="0"/>
      <w:marBottom w:val="0"/>
      <w:divBdr>
        <w:top w:val="none" w:sz="0" w:space="0" w:color="auto"/>
        <w:left w:val="none" w:sz="0" w:space="0" w:color="auto"/>
        <w:bottom w:val="none" w:sz="0" w:space="0" w:color="auto"/>
        <w:right w:val="none" w:sz="0" w:space="0" w:color="auto"/>
      </w:divBdr>
    </w:div>
    <w:div w:id="858203908">
      <w:bodyDiv w:val="1"/>
      <w:marLeft w:val="0"/>
      <w:marRight w:val="0"/>
      <w:marTop w:val="0"/>
      <w:marBottom w:val="0"/>
      <w:divBdr>
        <w:top w:val="none" w:sz="0" w:space="0" w:color="auto"/>
        <w:left w:val="none" w:sz="0" w:space="0" w:color="auto"/>
        <w:bottom w:val="none" w:sz="0" w:space="0" w:color="auto"/>
        <w:right w:val="none" w:sz="0" w:space="0" w:color="auto"/>
      </w:divBdr>
    </w:div>
    <w:div w:id="1029382067">
      <w:bodyDiv w:val="1"/>
      <w:marLeft w:val="0"/>
      <w:marRight w:val="0"/>
      <w:marTop w:val="0"/>
      <w:marBottom w:val="0"/>
      <w:divBdr>
        <w:top w:val="none" w:sz="0" w:space="0" w:color="auto"/>
        <w:left w:val="none" w:sz="0" w:space="0" w:color="auto"/>
        <w:bottom w:val="none" w:sz="0" w:space="0" w:color="auto"/>
        <w:right w:val="none" w:sz="0" w:space="0" w:color="auto"/>
      </w:divBdr>
    </w:div>
    <w:div w:id="1092622589">
      <w:bodyDiv w:val="1"/>
      <w:marLeft w:val="0"/>
      <w:marRight w:val="0"/>
      <w:marTop w:val="0"/>
      <w:marBottom w:val="0"/>
      <w:divBdr>
        <w:top w:val="none" w:sz="0" w:space="0" w:color="auto"/>
        <w:left w:val="none" w:sz="0" w:space="0" w:color="auto"/>
        <w:bottom w:val="none" w:sz="0" w:space="0" w:color="auto"/>
        <w:right w:val="none" w:sz="0" w:space="0" w:color="auto"/>
      </w:divBdr>
    </w:div>
    <w:div w:id="1731077402">
      <w:bodyDiv w:val="1"/>
      <w:marLeft w:val="0"/>
      <w:marRight w:val="0"/>
      <w:marTop w:val="0"/>
      <w:marBottom w:val="0"/>
      <w:divBdr>
        <w:top w:val="none" w:sz="0" w:space="0" w:color="auto"/>
        <w:left w:val="none" w:sz="0" w:space="0" w:color="auto"/>
        <w:bottom w:val="none" w:sz="0" w:space="0" w:color="auto"/>
        <w:right w:val="none" w:sz="0" w:space="0" w:color="auto"/>
      </w:divBdr>
    </w:div>
    <w:div w:id="1747336379">
      <w:bodyDiv w:val="1"/>
      <w:marLeft w:val="0"/>
      <w:marRight w:val="0"/>
      <w:marTop w:val="0"/>
      <w:marBottom w:val="0"/>
      <w:divBdr>
        <w:top w:val="none" w:sz="0" w:space="0" w:color="auto"/>
        <w:left w:val="none" w:sz="0" w:space="0" w:color="auto"/>
        <w:bottom w:val="none" w:sz="0" w:space="0" w:color="auto"/>
        <w:right w:val="none" w:sz="0" w:space="0" w:color="auto"/>
      </w:divBdr>
    </w:div>
    <w:div w:id="1796289752">
      <w:bodyDiv w:val="1"/>
      <w:marLeft w:val="0"/>
      <w:marRight w:val="0"/>
      <w:marTop w:val="0"/>
      <w:marBottom w:val="0"/>
      <w:divBdr>
        <w:top w:val="none" w:sz="0" w:space="0" w:color="auto"/>
        <w:left w:val="none" w:sz="0" w:space="0" w:color="auto"/>
        <w:bottom w:val="none" w:sz="0" w:space="0" w:color="auto"/>
        <w:right w:val="none" w:sz="0" w:space="0" w:color="auto"/>
      </w:divBdr>
    </w:div>
    <w:div w:id="194899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A9C0D8-2671-429A-AE8B-E79E4AC8FC4B}">
  <ds:schemaRefs>
    <ds:schemaRef ds:uri="http://schemas.openxmlformats.org/officeDocument/2006/bibliography"/>
  </ds:schemaRefs>
</ds:datastoreItem>
</file>

<file path=customXml/itemProps2.xml><?xml version="1.0" encoding="utf-8"?>
<ds:datastoreItem xmlns:ds="http://schemas.openxmlformats.org/officeDocument/2006/customXml" ds:itemID="{9D39E0C7-6EEF-4EB0-AC73-4EA38ACFE312}"/>
</file>

<file path=customXml/itemProps3.xml><?xml version="1.0" encoding="utf-8"?>
<ds:datastoreItem xmlns:ds="http://schemas.openxmlformats.org/officeDocument/2006/customXml" ds:itemID="{549F4E16-84C2-446D-AC44-0D3BD7F58FD1}"/>
</file>

<file path=customXml/itemProps4.xml><?xml version="1.0" encoding="utf-8"?>
<ds:datastoreItem xmlns:ds="http://schemas.openxmlformats.org/officeDocument/2006/customXml" ds:itemID="{68F46295-093A-4348-950B-A7CF3226CEBE}"/>
</file>

<file path=docProps/app.xml><?xml version="1.0" encoding="utf-8"?>
<Properties xmlns="http://schemas.openxmlformats.org/officeDocument/2006/extended-properties" xmlns:vt="http://schemas.openxmlformats.org/officeDocument/2006/docPropsVTypes">
  <Template>Normal</Template>
  <TotalTime>0</TotalTime>
  <Pages>4</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UỶ BAN NHÂN DÂN</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Lenovo</dc:creator>
  <cp:lastModifiedBy>Admin</cp:lastModifiedBy>
  <cp:revision>2</cp:revision>
  <cp:lastPrinted>2025-12-16T03:50:00Z</cp:lastPrinted>
  <dcterms:created xsi:type="dcterms:W3CDTF">2025-12-23T07:11:00Z</dcterms:created>
  <dcterms:modified xsi:type="dcterms:W3CDTF">2025-12-23T07:11:00Z</dcterms:modified>
</cp:coreProperties>
</file>